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2B4A"/>
          <w:sz w:val="68"/>
        </w:rPr>
        <w:t>SaHayak</w:t>
      </w:r>
    </w:p>
    <w:p>
      <w:pPr>
        <w:jc w:val="center"/>
      </w:pPr>
      <w:r>
        <w:rPr>
          <w:b/>
          <w:color w:val="1AA58A"/>
          <w:sz w:val="36"/>
        </w:rPr>
        <w:t>STARTUP MASTER GUIDE</w:t>
      </w:r>
    </w:p>
    <w:p>
      <w:pPr>
        <w:jc w:val="center"/>
      </w:pPr>
      <w:r>
        <w:rPr>
          <w:i/>
        </w:rPr>
        <w:t>From local demo to a trustworthy blood-help platform</w:t>
      </w:r>
    </w:p>
    <w:p>
      <w:pPr>
        <w:jc w:val="center"/>
      </w:pPr>
      <w:r>
        <w:rPr>
          <w:sz w:val="18"/>
        </w:rPr>
        <w:t>Prepared: 13 September 2026 | Beginner edition</w:t>
      </w:r>
    </w:p>
    <w:tbl>
      <w:tblPr>
        <w:tblW w:type="auto" w:w="0"/>
        <w:jc w:val="center"/>
        <w:tblLook w:firstColumn="1" w:firstRow="1" w:lastColumn="0" w:lastRow="0" w:noHBand="0" w:noVBand="1" w:val="04A0"/>
      </w:tblPr>
      <w:tblGrid>
        <w:gridCol w:w="10080"/>
      </w:tblGrid>
      <w:tr>
        <w:tc>
          <w:tcPr>
            <w:tcW w:type="dxa" w:w="10080"/>
          </w:tcPr>
          <w:p>
            <w:pPr>
              <w:spacing w:after="40"/>
            </w:pPr>
            <w:r/>
            <w:r>
              <w:rPr>
                <w:b/>
                <w:color w:val="C22B4A"/>
              </w:rPr>
              <w:t xml:space="preserve">Read this first: </w:t>
            </w:r>
            <w:r>
              <w:t>You have built a meaningful local demo, not a finished production company. This guide tells you what exists, what is missing, what to do next, how to test it, how to form a business, and how to approach funders or government partners. Follow the order. Do not spend money on SMS, WhatsApp, cloud hosting, or AI before the pilot proves real user demand.</w:t>
            </w:r>
          </w:p>
        </w:tc>
      </w:tr>
    </w:tbl>
    <w:p/>
    <w:p>
      <w:pPr>
        <w:pStyle w:val="Heading1"/>
        <w:spacing w:before="240" w:after="100"/>
      </w:pPr>
      <w:r>
        <w:t>1. The one-sentence business</w:t>
      </w:r>
    </w:p>
    <w:p>
      <w:r>
        <w:t>SaHayak helps a family find compatible blood support nearby, while hospitals, NGOs, blood banks, and public-health teams get a trustworthy workflow for requests, donors, camps, directory information, and operational visibility.</w:t>
      </w:r>
    </w:p>
    <w:p>
      <w:pPr>
        <w:pStyle w:val="Heading2"/>
        <w:spacing w:before="160" w:after="100"/>
      </w:pPr>
      <w:r>
        <w:t>What makes the idea valuable</w:t>
      </w:r>
    </w:p>
    <w:p>
      <w:pPr>
        <w:pStyle w:val="ListBullet"/>
        <w:spacing w:after="40"/>
      </w:pPr>
      <w:r>
        <w:t>Emergency-first home experience: Need blood and I can donate.</w:t>
      </w:r>
    </w:p>
    <w:p>
      <w:pPr>
        <w:pStyle w:val="ListBullet"/>
        <w:spacing w:after="40"/>
      </w:pPr>
      <w:r>
        <w:t>Compatible donor matching instead of showing an unsafe random list.</w:t>
      </w:r>
    </w:p>
    <w:p>
      <w:pPr>
        <w:pStyle w:val="ListBullet"/>
        <w:spacing w:after="40"/>
      </w:pPr>
      <w:r>
        <w:t>Privacy: phone details stay hidden until the right acceptance step.</w:t>
      </w:r>
    </w:p>
    <w:p>
      <w:pPr>
        <w:pStyle w:val="ListBullet"/>
        <w:spacing w:after="40"/>
      </w:pPr>
      <w:r>
        <w:t>A shared middleware contract for mobile app, website, and future console.</w:t>
      </w:r>
    </w:p>
    <w:p>
      <w:pPr>
        <w:pStyle w:val="ListBullet"/>
        <w:spacing w:after="40"/>
      </w:pPr>
      <w:r>
        <w:t>A buyer-facing platform for hospitals, blood banks, NGOs, CSR teams, and districts.</w:t>
      </w:r>
    </w:p>
    <w:p>
      <w:pPr>
        <w:pStyle w:val="ListBullet"/>
        <w:spacing w:after="40"/>
      </w:pPr>
      <w:r>
        <w:t>AI used as a controlled assistant behind deterministic safety and compliance rules.</w:t>
      </w:r>
    </w:p>
    <w:p>
      <w:pPr>
        <w:pStyle w:val="Heading1"/>
        <w:spacing w:before="240" w:after="100"/>
      </w:pPr>
      <w:r>
        <w:t>2. Honest current status</w:t>
      </w:r>
    </w:p>
    <w:p>
      <w:r>
        <w:t>Current verified state: local demo and development foundation. The middleware has working local flows for authentication, profile, blood requests, matching, donor hold, acceptance, fulfillment, undo, directory, branding, camps, inventory, notifications-as-audit, and AI graph fallback. The app and website still require real device/browser acceptance testing before any public launch claim.</w:t>
      </w:r>
    </w:p>
    <w:tbl>
      <w:tblPr>
        <w:tblW w:type="auto" w:w="0"/>
        <w:jc w:val="center"/>
        <w:tblLook w:firstColumn="1" w:firstRow="1" w:lastColumn="0" w:lastRow="0" w:noHBand="0" w:noVBand="1" w:val="04A0"/>
      </w:tblPr>
      <w:tblGrid>
        <w:gridCol w:w="10080"/>
      </w:tblGrid>
      <w:tr>
        <w:tc>
          <w:tcPr>
            <w:tcW w:type="dxa" w:w="10080"/>
          </w:tcPr>
          <w:p>
            <w:pPr>
              <w:spacing w:after="40"/>
            </w:pPr>
            <w:r/>
            <w:r>
              <w:rPr>
                <w:b/>
                <w:color w:val="C22B4A"/>
              </w:rPr>
              <w:t xml:space="preserve">Do not claim: </w:t>
            </w:r>
            <w:r>
              <w:t>Do not claim that real SMS, FCM, WhatsApp, production medical matching, government integration, production security, or production uptime already exists. Those require providers, agreements, infrastructure, and acceptance evidence.</w:t>
            </w:r>
          </w:p>
        </w:tc>
      </w:tr>
    </w:tbl>
    <w:p/>
    <w:p>
      <w:pPr>
        <w:pStyle w:val="Heading1"/>
        <w:spacing w:before="240" w:after="100"/>
      </w:pPr>
      <w:r>
        <w:t>3. What is still missing</w:t>
      </w:r>
    </w:p>
    <w:p>
      <w:pPr>
        <w:pStyle w:val="ListBullet"/>
        <w:spacing w:after="40"/>
      </w:pPr>
      <w:r>
        <w:t>Production identity: refresh tokens, session expiry, secure secret storage, account recovery, abuse controls, and real OTP/email provider.</w:t>
      </w:r>
    </w:p>
    <w:p>
      <w:pPr>
        <w:pStyle w:val="ListBullet"/>
        <w:spacing w:after="40"/>
      </w:pPr>
      <w:r>
        <w:t>Production database operations: PostgreSQL/PostGIS schema migration plan, backups, restore drills, migrations, monitoring, and concurrency tests.</w:t>
      </w:r>
    </w:p>
    <w:p>
      <w:pPr>
        <w:pStyle w:val="ListBullet"/>
        <w:spacing w:after="40"/>
      </w:pPr>
      <w:r>
        <w:t>Real communications: FCM, transactional email, SMS, and WhatsApp provider configuration and delivery monitoring.</w:t>
      </w:r>
    </w:p>
    <w:p>
      <w:pPr>
        <w:pStyle w:val="ListBullet"/>
        <w:spacing w:after="40"/>
      </w:pPr>
      <w:r>
        <w:t>Operational console: complete hospital, NGO, blood-bank, camp, inventory, reports, export, and role workflows.</w:t>
      </w:r>
    </w:p>
    <w:p>
      <w:pPr>
        <w:pStyle w:val="ListBullet"/>
        <w:spacing w:after="40"/>
      </w:pPr>
      <w:r>
        <w:t>Verified directory: official sources or signed partnerships; never scrape or invent emergency numbers.</w:t>
      </w:r>
    </w:p>
    <w:p>
      <w:pPr>
        <w:pStyle w:val="ListBullet"/>
        <w:spacing w:after="40"/>
      </w:pPr>
      <w:r>
        <w:t>Mobile quality: physical-device testing, Flutter analyzer/build, accessibility, offline queue, loading/error/empty states, and release signing.</w:t>
      </w:r>
    </w:p>
    <w:p>
      <w:pPr>
        <w:pStyle w:val="ListBullet"/>
        <w:spacing w:after="40"/>
      </w:pPr>
      <w:r>
        <w:t>Website quality: browser end-to-end testing, responsive layout checks, auth/console checks, and accessibility.</w:t>
      </w:r>
    </w:p>
    <w:p>
      <w:pPr>
        <w:pStyle w:val="ListBullet"/>
        <w:spacing w:after="40"/>
      </w:pPr>
      <w:r>
        <w:t>Security and compliance: DPDP consent, privacy notice, data deletion, audit logs, tenant isolation, HTTPS, rate limits, secrets, incident response.</w:t>
      </w:r>
    </w:p>
    <w:p>
      <w:pPr>
        <w:pStyle w:val="ListBullet"/>
        <w:spacing w:after="40"/>
      </w:pPr>
      <w:r>
        <w:t>AI production: real provider choice, embeddings/vector retrieval, prompt versioning, human evaluation, tracing, cost controls, retries, and safe fallback.</w:t>
      </w:r>
    </w:p>
    <w:p>
      <w:pPr>
        <w:pStyle w:val="Heading1"/>
        <w:spacing w:before="240" w:after="100"/>
      </w:pPr>
      <w:r>
        <w:t>4. Correct local launch</w:t>
      </w:r>
    </w:p>
    <w:p>
      <w:r>
        <w:t>Use the launcher committed in the repository. It prevents the most common beginner mistake: starting the server from the wrong folder or forgetting the API address.</w:t>
      </w:r>
    </w:p>
    <w:p>
      <w:pPr>
        <w:pStyle w:val="Heading2"/>
        <w:spacing w:before="160" w:after="100"/>
      </w:pPr>
      <w:r>
        <w:t>Start or restart middleware</w:t>
      </w:r>
    </w:p>
    <w:p>
      <w:pPr>
        <w:pStyle w:val="ListNumber"/>
        <w:spacing w:after="60"/>
      </w:pPr>
      <w:r>
        <w:t>Open PowerShell.</w:t>
      </w:r>
    </w:p>
    <w:p>
      <w:pPr>
        <w:pStyle w:val="ListNumber"/>
        <w:spacing w:after="60"/>
      </w:pPr>
      <w:r>
        <w:t>Run: Set-Location G:\Sahayak</w:t>
      </w:r>
    </w:p>
    <w:p>
      <w:pPr>
        <w:pStyle w:val="ListNumber"/>
        <w:spacing w:after="60"/>
      </w:pPr>
      <w:r>
        <w:t>Run: powershell -NoProfile -ExecutionPolicy Bypass -File .\scripts\local_testing.ps1 -Mode start</w:t>
      </w:r>
    </w:p>
    <w:p>
      <w:pPr>
        <w:pStyle w:val="ListNumber"/>
        <w:spacing w:after="60"/>
      </w:pPr>
      <w:r>
        <w:t>For a fresh restart, use: powershell -NoProfile -ExecutionPolicy Bypass -File .\scripts\local_testing.ps1 -Mode restart</w:t>
      </w:r>
    </w:p>
    <w:p>
      <w:pPr>
        <w:pStyle w:val="ListNumber"/>
        <w:spacing w:after="60"/>
      </w:pPr>
      <w:r>
        <w:t>Wait until the message says: SaHayak middleware started successfully.</w:t>
      </w:r>
    </w:p>
    <w:p>
      <w:pPr>
        <w:pStyle w:val="ListNumber"/>
        <w:spacing w:after="60"/>
      </w:pPr>
      <w:r>
        <w:t>Open the printed Health URL first. If it works, open API docs and the website links.</w:t>
      </w:r>
    </w:p>
    <w:p>
      <w:pPr>
        <w:pStyle w:val="Heading2"/>
        <w:spacing w:before="160" w:after="100"/>
      </w:pPr>
      <w:r>
        <w:t>Copy-paste local links</w:t>
      </w:r>
    </w:p>
    <w:tbl>
      <w:tblPr>
        <w:tblW w:type="auto" w:w="0"/>
        <w:jc w:val="center"/>
        <w:tblLook w:firstColumn="1" w:firstRow="1" w:lastColumn="0" w:lastRow="0" w:noHBand="0" w:noVBand="1" w:val="04A0"/>
      </w:tblPr>
      <w:tblGrid>
        <w:gridCol w:w="5040"/>
        <w:gridCol w:w="5040"/>
      </w:tblGrid>
      <w:tr>
        <w:tc>
          <w:tcPr>
            <w:tcW w:type="dxa" w:w="5040"/>
            <w:vAlign w:val="center"/>
            <w:shd w:fill="C42B4A"/>
          </w:tcPr>
          <w:p>
            <w:r/>
            <w:r>
              <w:rPr>
                <w:b/>
                <w:color w:val="FFFFFF"/>
                <w:sz w:val="18"/>
              </w:rPr>
              <w:t>Purpose</w:t>
            </w:r>
          </w:p>
        </w:tc>
        <w:tc>
          <w:tcPr>
            <w:tcW w:type="dxa" w:w="5040"/>
            <w:vAlign w:val="center"/>
            <w:shd w:fill="C42B4A"/>
          </w:tcPr>
          <w:p>
            <w:r/>
            <w:r>
              <w:rPr>
                <w:b/>
                <w:color w:val="FFFFFF"/>
                <w:sz w:val="18"/>
              </w:rPr>
              <w:t>URL</w:t>
            </w:r>
          </w:p>
        </w:tc>
      </w:tr>
      <w:tr>
        <w:tc>
          <w:tcPr>
            <w:tcW w:type="dxa" w:w="5040"/>
            <w:vAlign w:val="center"/>
          </w:tcPr>
          <w:p>
            <w:r/>
            <w:r>
              <w:rPr>
                <w:b w:val="0"/>
                <w:color w:val="1B263B"/>
                <w:sz w:val="18"/>
              </w:rPr>
              <w:t>Health</w:t>
            </w:r>
          </w:p>
        </w:tc>
        <w:tc>
          <w:tcPr>
            <w:tcW w:type="dxa" w:w="5040"/>
            <w:vAlign w:val="center"/>
          </w:tcPr>
          <w:p>
            <w:r/>
            <w:r>
              <w:rPr>
                <w:b w:val="0"/>
                <w:color w:val="1B263B"/>
                <w:sz w:val="18"/>
              </w:rPr>
              <w:t>http://127.0.0.1:8080/health</w:t>
            </w:r>
          </w:p>
        </w:tc>
      </w:tr>
      <w:tr>
        <w:tc>
          <w:tcPr>
            <w:tcW w:type="dxa" w:w="5040"/>
            <w:vAlign w:val="center"/>
          </w:tcPr>
          <w:p>
            <w:r/>
            <w:r>
              <w:rPr>
                <w:b w:val="0"/>
                <w:color w:val="1B263B"/>
                <w:sz w:val="18"/>
              </w:rPr>
              <w:t>API test console</w:t>
            </w:r>
          </w:p>
        </w:tc>
        <w:tc>
          <w:tcPr>
            <w:tcW w:type="dxa" w:w="5040"/>
            <w:vAlign w:val="center"/>
          </w:tcPr>
          <w:p>
            <w:r/>
            <w:r>
              <w:rPr>
                <w:b w:val="0"/>
                <w:color w:val="1B263B"/>
                <w:sz w:val="18"/>
              </w:rPr>
              <w:t>http://127.0.0.1:8080/docs</w:t>
            </w:r>
          </w:p>
        </w:tc>
      </w:tr>
      <w:tr>
        <w:tc>
          <w:tcPr>
            <w:tcW w:type="dxa" w:w="5040"/>
            <w:vAlign w:val="center"/>
          </w:tcPr>
          <w:p>
            <w:r/>
            <w:r>
              <w:rPr>
                <w:b w:val="0"/>
                <w:color w:val="1B263B"/>
                <w:sz w:val="18"/>
              </w:rPr>
              <w:t>Citizen website</w:t>
            </w:r>
          </w:p>
        </w:tc>
        <w:tc>
          <w:tcPr>
            <w:tcW w:type="dxa" w:w="5040"/>
            <w:vAlign w:val="center"/>
          </w:tcPr>
          <w:p>
            <w:r/>
            <w:r>
              <w:rPr>
                <w:b w:val="0"/>
                <w:color w:val="1B263B"/>
                <w:sz w:val="18"/>
              </w:rPr>
              <w:t>http://127.0.0.1:8080/app/</w:t>
            </w:r>
          </w:p>
        </w:tc>
      </w:tr>
      <w:tr>
        <w:tc>
          <w:tcPr>
            <w:tcW w:type="dxa" w:w="5040"/>
            <w:vAlign w:val="center"/>
          </w:tcPr>
          <w:p>
            <w:r/>
            <w:r>
              <w:rPr>
                <w:b w:val="0"/>
                <w:color w:val="1B263B"/>
                <w:sz w:val="18"/>
              </w:rPr>
              <w:t>Organization console</w:t>
            </w:r>
          </w:p>
        </w:tc>
        <w:tc>
          <w:tcPr>
            <w:tcW w:type="dxa" w:w="5040"/>
            <w:vAlign w:val="center"/>
          </w:tcPr>
          <w:p>
            <w:r/>
            <w:r>
              <w:rPr>
                <w:b w:val="0"/>
                <w:color w:val="1B263B"/>
                <w:sz w:val="18"/>
              </w:rPr>
              <w:t>http://127.0.0.1:8080/console</w:t>
            </w:r>
          </w:p>
        </w:tc>
      </w:tr>
      <w:tr>
        <w:tc>
          <w:tcPr>
            <w:tcW w:type="dxa" w:w="5040"/>
            <w:vAlign w:val="center"/>
          </w:tcPr>
          <w:p>
            <w:r/>
            <w:r>
              <w:rPr>
                <w:b w:val="0"/>
                <w:color w:val="1B263B"/>
                <w:sz w:val="18"/>
              </w:rPr>
              <w:t>Privacy</w:t>
            </w:r>
          </w:p>
        </w:tc>
        <w:tc>
          <w:tcPr>
            <w:tcW w:type="dxa" w:w="5040"/>
            <w:vAlign w:val="center"/>
          </w:tcPr>
          <w:p>
            <w:r/>
            <w:r>
              <w:rPr>
                <w:b w:val="0"/>
                <w:color w:val="1B263B"/>
                <w:sz w:val="18"/>
              </w:rPr>
              <w:t>http://127.0.0.1:8080/privacy</w:t>
            </w:r>
          </w:p>
        </w:tc>
      </w:tr>
      <w:tr>
        <w:tc>
          <w:tcPr>
            <w:tcW w:type="dxa" w:w="5040"/>
            <w:vAlign w:val="center"/>
          </w:tcPr>
          <w:p>
            <w:r/>
            <w:r>
              <w:rPr>
                <w:b w:val="0"/>
                <w:color w:val="1B263B"/>
                <w:sz w:val="18"/>
              </w:rPr>
              <w:t>Terms</w:t>
            </w:r>
          </w:p>
        </w:tc>
        <w:tc>
          <w:tcPr>
            <w:tcW w:type="dxa" w:w="5040"/>
            <w:vAlign w:val="center"/>
          </w:tcPr>
          <w:p>
            <w:r/>
            <w:r>
              <w:rPr>
                <w:b w:val="0"/>
                <w:color w:val="1B263B"/>
                <w:sz w:val="18"/>
              </w:rPr>
              <w:t>http://127.0.0.1:8080/terms</w:t>
            </w:r>
          </w:p>
        </w:tc>
      </w:tr>
    </w:tbl>
    <w:p>
      <w:pPr>
        <w:pStyle w:val="Heading1"/>
        <w:spacing w:before="240" w:after="100"/>
      </w:pPr>
      <w:r>
        <w:t>5. Start and test the Flutter app</w:t>
      </w:r>
    </w:p>
    <w:p>
      <w:pPr>
        <w:pStyle w:val="ListNumber"/>
        <w:spacing w:after="60"/>
      </w:pPr>
      <w:r>
        <w:t>Open a second PowerShell window.</w:t>
      </w:r>
    </w:p>
    <w:p>
      <w:pPr>
        <w:pStyle w:val="ListNumber"/>
        <w:spacing w:after="60"/>
      </w:pPr>
      <w:r>
        <w:t>Run: Set-Location G:\Sahayak\frontend\mobile</w:t>
      </w:r>
    </w:p>
    <w:p>
      <w:pPr>
        <w:pStyle w:val="ListNumber"/>
        <w:spacing w:after="60"/>
      </w:pPr>
      <w:r>
        <w:t>Run: &amp; 'G:\tools\flutter\bin\flutter.bat' pub get</w:t>
      </w:r>
    </w:p>
    <w:p>
      <w:pPr>
        <w:pStyle w:val="ListNumber"/>
        <w:spacing w:after="60"/>
      </w:pPr>
      <w:r>
        <w:t>Connect an Android device or start an emulator.</w:t>
      </w:r>
    </w:p>
    <w:p>
      <w:pPr>
        <w:pStyle w:val="ListNumber"/>
        <w:spacing w:after="60"/>
      </w:pPr>
      <w:r>
        <w:t>Run: &amp; 'G:\tools\flutter\bin\flutter.bat' run --dart-define=SAHAYAK_API_BASE=http://127.0.0.1:8080</w:t>
      </w:r>
    </w:p>
    <w:p>
      <w:pPr>
        <w:pStyle w:val="ListNumber"/>
        <w:spacing w:after="60"/>
      </w:pPr>
      <w:r>
        <w:t>Confirm the first screen loads, then test Need blood and I can donate.</w:t>
      </w:r>
    </w:p>
    <w:p>
      <w:pPr>
        <w:pStyle w:val="ListNumber"/>
        <w:spacing w:after="60"/>
      </w:pPr>
      <w:r>
        <w:t>If the app cannot reach the API, confirm the device can reach the computer and use the correct host address for that emulator/device.</w:t>
      </w:r>
    </w:p>
    <w:p>
      <w:pPr>
        <w:pStyle w:val="Heading1"/>
        <w:spacing w:before="240" w:after="100"/>
      </w:pPr>
      <w:r>
        <w:t>6. Minute-by-minute local testing</w:t>
      </w:r>
    </w:p>
    <w:p>
      <w:pPr>
        <w:pStyle w:val="ListBullet"/>
        <w:spacing w:after="40"/>
      </w:pPr>
      <w:r>
        <w:t>Minutes 1-3: run the launcher and open /health.</w:t>
      </w:r>
    </w:p>
    <w:p>
      <w:pPr>
        <w:pStyle w:val="ListBullet"/>
        <w:spacing w:after="40"/>
      </w:pPr>
      <w:r>
        <w:t>Minutes 4-6: open /docs and check that the API is responding.</w:t>
      </w:r>
    </w:p>
    <w:p>
      <w:pPr>
        <w:pStyle w:val="ListBullet"/>
        <w:spacing w:after="40"/>
      </w:pPr>
      <w:r>
        <w:t>Minutes 7-10: start Flutter and confirm the home screen, fonts, buttons, and language state.</w:t>
      </w:r>
    </w:p>
    <w:p>
      <w:pPr>
        <w:pStyle w:val="ListBullet"/>
        <w:spacing w:after="40"/>
      </w:pPr>
      <w:r>
        <w:t>Minutes 11-15: request OTP, verify login, and confirm a user session is created.</w:t>
      </w:r>
    </w:p>
    <w:p>
      <w:pPr>
        <w:pStyle w:val="ListBullet"/>
        <w:spacing w:after="40"/>
      </w:pPr>
      <w:r>
        <w:t>Minutes 16-20: create a Need blood request with valid data; repeat the tap to check idempotency.</w:t>
      </w:r>
    </w:p>
    <w:p>
      <w:pPr>
        <w:pStyle w:val="ListBullet"/>
        <w:spacing w:after="40"/>
      </w:pPr>
      <w:r>
        <w:t>Minutes 21-25: register a donor, test compatibility, cooling period, donor hold, and accept one request.</w:t>
      </w:r>
    </w:p>
    <w:p>
      <w:pPr>
        <w:pStyle w:val="ListBullet"/>
        <w:spacing w:after="40"/>
      </w:pPr>
      <w:r>
        <w:t>Minutes 26-30: open website routes and check citizen, console, privacy, terms, and guest views.</w:t>
      </w:r>
    </w:p>
    <w:p>
      <w:pPr>
        <w:pStyle w:val="ListBullet"/>
        <w:spacing w:after="40"/>
      </w:pPr>
      <w:r>
        <w:t>Minutes 31-35: inspect UI at narrow and wide browser sizes; check loading, success, error, empty, and offline states.</w:t>
      </w:r>
    </w:p>
    <w:p>
      <w:pPr>
        <w:pStyle w:val="ListBullet"/>
        <w:spacing w:after="40"/>
      </w:pPr>
      <w:r>
        <w:t>Minutes 36-40: inspect stored data and confirm the action shown in the UI matches the saved record.</w:t>
      </w:r>
    </w:p>
    <w:p>
      <w:pPr>
        <w:pStyle w:val="ListBullet"/>
        <w:spacing w:after="40"/>
      </w:pPr>
      <w:r>
        <w:t>Minutes 41-45: create a camp, RSVP twice, cancel it, confirm the notice, and check passport rejection after cancellation.</w:t>
      </w:r>
    </w:p>
    <w:p>
      <w:pPr>
        <w:pStyle w:val="ListBullet"/>
        <w:spacing w:after="40"/>
      </w:pPr>
      <w:r>
        <w:t>Minutes 46-50: add inventory as an owner, filter it, verify a normal user cannot write stock, and record the result.</w:t>
      </w:r>
    </w:p>
    <w:p>
      <w:pPr>
        <w:pStyle w:val="ListBullet"/>
        <w:spacing w:after="40"/>
      </w:pPr>
      <w:r>
        <w:t>Minutes 51-60: test invalid inputs, refresh, expired sessions, duplicate taps, and safe error messages.</w:t>
      </w:r>
    </w:p>
    <w:p>
      <w:pPr>
        <w:pStyle w:val="Heading1"/>
        <w:spacing w:before="240" w:after="100"/>
      </w:pPr>
      <w:r>
        <w:t>7. Release gates before production</w:t>
      </w:r>
    </w:p>
    <w:p>
      <w:pPr>
        <w:pStyle w:val="ListBullet"/>
        <w:spacing w:after="40"/>
      </w:pPr>
      <w:r>
        <w:t>A real pilot hospital or blood bank has agreed to test.</w:t>
      </w:r>
    </w:p>
    <w:p>
      <w:pPr>
        <w:pStyle w:val="ListBullet"/>
        <w:spacing w:after="40"/>
      </w:pPr>
      <w:r>
        <w:t>A named person owns product decisions and incident response.</w:t>
      </w:r>
    </w:p>
    <w:p>
      <w:pPr>
        <w:pStyle w:val="ListBullet"/>
        <w:spacing w:after="40"/>
      </w:pPr>
      <w:r>
        <w:t>Privacy policy, terms, data deletion, consent, and emergency disclaimers are reviewed.</w:t>
      </w:r>
    </w:p>
    <w:p>
      <w:pPr>
        <w:pStyle w:val="ListBullet"/>
        <w:spacing w:after="40"/>
      </w:pPr>
      <w:r>
        <w:t>Production database, backup, restore, HTTPS, secrets, monitoring, and alerting are ready.</w:t>
      </w:r>
    </w:p>
    <w:p>
      <w:pPr>
        <w:pStyle w:val="ListBullet"/>
        <w:spacing w:after="40"/>
      </w:pPr>
      <w:r>
        <w:t>Real email/FCM/SMS/WhatsApp providers are configured only after consent and budget approval.</w:t>
      </w:r>
    </w:p>
    <w:p>
      <w:pPr>
        <w:pStyle w:val="ListBullet"/>
        <w:spacing w:after="40"/>
      </w:pPr>
      <w:r>
        <w:t>A physical Android device test is complete and the release build installs cleanly.</w:t>
      </w:r>
    </w:p>
    <w:p>
      <w:pPr>
        <w:pStyle w:val="ListBullet"/>
        <w:spacing w:after="40"/>
      </w:pPr>
      <w:r>
        <w:t>A browser matrix test is complete for the supported browsers and screen sizes.</w:t>
      </w:r>
    </w:p>
    <w:p>
      <w:pPr>
        <w:pStyle w:val="ListBullet"/>
        <w:spacing w:after="40"/>
      </w:pPr>
      <w:r>
        <w:t>A hospital or blood bank confirms inventory data is advisory and operationally verified.</w:t>
      </w:r>
    </w:p>
    <w:p>
      <w:pPr>
        <w:pStyle w:val="ListBullet"/>
        <w:spacing w:after="40"/>
      </w:pPr>
      <w:r>
        <w:t>The team has a support process for wrong data, abuse, fake requests, and medical emergencies.</w:t>
      </w:r>
    </w:p>
    <w:p>
      <w:pPr>
        <w:pStyle w:val="Heading1"/>
        <w:spacing w:before="240" w:after="100"/>
      </w:pPr>
      <w:r>
        <w:t>8. Business setup for a beginner</w:t>
      </w:r>
    </w:p>
    <w:p>
      <w:r>
        <w:t>You do not need to become an expert before taking the first step. You need to make the business legal enough for the current stage, document the product, speak to real users, and keep public claims honest.</w:t>
      </w:r>
    </w:p>
    <w:p>
      <w:pPr>
        <w:pStyle w:val="Heading2"/>
        <w:spacing w:before="160" w:after="100"/>
      </w:pPr>
      <w:r>
        <w:t>Choose a business structure</w:t>
      </w:r>
    </w:p>
    <w:p>
      <w:pPr>
        <w:pStyle w:val="ListBullet"/>
        <w:spacing w:after="40"/>
      </w:pPr>
      <w:r>
        <w:t>Start as a sole proprietor only for early discovery if you are testing the idea alone and have low risk.</w:t>
      </w:r>
    </w:p>
    <w:p>
      <w:pPr>
        <w:pStyle w:val="ListBullet"/>
        <w:spacing w:after="40"/>
      </w:pPr>
      <w:r>
        <w:t>Consider an LLP when there are two or more founders and you want a lighter structure.</w:t>
      </w:r>
    </w:p>
    <w:p>
      <w:pPr>
        <w:pStyle w:val="ListBullet"/>
        <w:spacing w:after="40"/>
      </w:pPr>
      <w:r>
        <w:t>Consider a private limited company when you want investors, formal equity, ESOPs, or larger institutional contracts.</w:t>
      </w:r>
    </w:p>
    <w:p>
      <w:pPr>
        <w:pStyle w:val="ListBullet"/>
        <w:spacing w:after="40"/>
      </w:pPr>
      <w:r>
        <w:t>Speak to a qualified Indian company secretary or chartered accountant before registration, GST decisions, contracts, or fundraising.</w:t>
      </w:r>
    </w:p>
    <w:p>
      <w:pPr>
        <w:pStyle w:val="Heading2"/>
        <w:spacing w:before="160" w:after="100"/>
      </w:pPr>
      <w:r>
        <w:t>What you may need to apply for</w:t>
      </w:r>
    </w:p>
    <w:p>
      <w:pPr>
        <w:pStyle w:val="ListBullet"/>
        <w:spacing w:after="40"/>
      </w:pPr>
      <w:r>
        <w:t>Business PAN/TAN and a current account when the business structure requires it.</w:t>
      </w:r>
    </w:p>
    <w:p>
      <w:pPr>
        <w:pStyle w:val="ListBullet"/>
        <w:spacing w:after="40"/>
      </w:pPr>
      <w:r>
        <w:t>GST registration if your activities and turnover or contract type require it; ask a CA because exemptions and thresholds depend on facts.</w:t>
      </w:r>
    </w:p>
    <w:p>
      <w:pPr>
        <w:pStyle w:val="ListBullet"/>
        <w:spacing w:after="40"/>
      </w:pPr>
      <w:r>
        <w:t>DPIIT startup recognition if eligible; it may help with access to programs, credibility, and some benefits, but it is not automatic funding.</w:t>
      </w:r>
    </w:p>
    <w:p>
      <w:pPr>
        <w:pStyle w:val="ListBullet"/>
        <w:spacing w:after="40"/>
      </w:pPr>
      <w:r>
        <w:t>Udyam/MSME registration if appropriate for your entity and activity.</w:t>
      </w:r>
    </w:p>
    <w:p>
      <w:pPr>
        <w:pStyle w:val="ListBullet"/>
        <w:spacing w:after="40"/>
      </w:pPr>
      <w:r>
        <w:t>Trademark search and registration for SaHayak branding.</w:t>
      </w:r>
    </w:p>
    <w:p>
      <w:pPr>
        <w:pStyle w:val="ListBullet"/>
        <w:spacing w:after="40"/>
      </w:pPr>
      <w:r>
        <w:t>Contracts: founder agreement, contractor/IP assignment, privacy policy, terms, pilot agreement, data-processing terms, and vendor agreements.</w:t>
      </w:r>
    </w:p>
    <w:p>
      <w:pPr>
        <w:pStyle w:val="ListBullet"/>
        <w:spacing w:after="40"/>
      </w:pPr>
      <w:r>
        <w:t>Do not call yourself a hospital, blood bank, government partner, or medical provider unless a written relationship exists.</w:t>
      </w:r>
    </w:p>
    <w:tbl>
      <w:tblPr>
        <w:tblW w:type="auto" w:w="0"/>
        <w:jc w:val="center"/>
        <w:tblLook w:firstColumn="1" w:firstRow="1" w:lastColumn="0" w:lastRow="0" w:noHBand="0" w:noVBand="1" w:val="04A0"/>
      </w:tblPr>
      <w:tblGrid>
        <w:gridCol w:w="10080"/>
      </w:tblGrid>
      <w:tr>
        <w:tc>
          <w:tcPr>
            <w:tcW w:type="dxa" w:w="10080"/>
          </w:tcPr>
          <w:p>
            <w:pPr>
              <w:spacing w:after="40"/>
            </w:pPr>
            <w:r/>
            <w:r>
              <w:rPr>
                <w:b/>
                <w:color w:val="C22B4A"/>
              </w:rPr>
              <w:t xml:space="preserve">About your word ‘petitioner’: </w:t>
            </w:r>
            <w:r>
              <w:t>If you meant registration/application/paperwork, the usual path is business registration plus tax, privacy, trademark, and pilot contracts. If you meant a legal petition or a government application, get a qualified lawyer or CA to identify the correct form; do not file a legal petition based only on a generic online checklist.</w:t>
            </w:r>
          </w:p>
        </w:tc>
      </w:tr>
    </w:tbl>
    <w:p/>
    <w:p>
      <w:pPr>
        <w:pStyle w:val="Heading1"/>
        <w:spacing w:before="240" w:after="100"/>
      </w:pPr>
      <w:r>
        <w:t>9. How to start the business</w:t>
      </w:r>
    </w:p>
    <w:p>
      <w:pPr>
        <w:pStyle w:val="Heading2"/>
        <w:spacing w:before="160" w:after="100"/>
      </w:pPr>
      <w:r>
        <w:t>Your first customer should be a pilot</w:t>
      </w:r>
    </w:p>
    <w:p>
      <w:pPr>
        <w:pStyle w:val="ListNumber"/>
        <w:spacing w:after="60"/>
      </w:pPr>
      <w:r>
        <w:t>Choose one city and one narrow pilot: one hospital, blood bank, or NGO.</w:t>
      </w:r>
    </w:p>
    <w:p>
      <w:pPr>
        <w:pStyle w:val="ListNumber"/>
        <w:spacing w:after="60"/>
      </w:pPr>
      <w:r>
        <w:t>Interview 10 families, 5 donors, 2 doctors/nurses, 2 blood-bank staff, and 2 NGO coordinators.</w:t>
      </w:r>
    </w:p>
    <w:p>
      <w:pPr>
        <w:pStyle w:val="ListNumber"/>
        <w:spacing w:after="60"/>
      </w:pPr>
      <w:r>
        <w:t>Ask what happens today, where time is lost, which data is trusted, and what they will not allow.</w:t>
      </w:r>
    </w:p>
    <w:p>
      <w:pPr>
        <w:pStyle w:val="ListNumber"/>
        <w:spacing w:after="60"/>
      </w:pPr>
      <w:r>
        <w:t>Offer a 30-day pilot with no promise of medical outcomes or guaranteed blood availability.</w:t>
      </w:r>
    </w:p>
    <w:p>
      <w:pPr>
        <w:pStyle w:val="ListNumber"/>
        <w:spacing w:after="60"/>
      </w:pPr>
      <w:r>
        <w:t>Measure median minutes to first donor response, fulfilled requests, duplicate/fake requests, staff time saved, and data accuracy.</w:t>
      </w:r>
    </w:p>
    <w:p>
      <w:pPr>
        <w:pStyle w:val="ListNumber"/>
        <w:spacing w:after="60"/>
      </w:pPr>
      <w:r>
        <w:t>Write a one-page pilot agreement describing scope, data, support, privacy, and who verifies inventory.</w:t>
      </w:r>
    </w:p>
    <w:p>
      <w:pPr>
        <w:pStyle w:val="ListNumber"/>
        <w:spacing w:after="60"/>
      </w:pPr>
      <w:r>
        <w:t>Only after the pilot works should you seek a paid license or larger partnership.</w:t>
      </w:r>
    </w:p>
    <w:p>
      <w:pPr>
        <w:pStyle w:val="Heading2"/>
        <w:spacing w:before="160" w:after="100"/>
      </w:pPr>
      <w:r>
        <w:t>Who to contact</w:t>
      </w:r>
    </w:p>
    <w:p>
      <w:pPr>
        <w:pStyle w:val="ListBullet"/>
        <w:spacing w:after="40"/>
      </w:pPr>
      <w:r>
        <w:t>Local hospitals and blood banks: ask for the medical superintendent, blood-bank officer, or operations head.</w:t>
      </w:r>
    </w:p>
    <w:p>
      <w:pPr>
        <w:pStyle w:val="ListBullet"/>
        <w:spacing w:after="40"/>
      </w:pPr>
      <w:r>
        <w:t>NGOs and CSR teams: ask for the program director or CSR lead.</w:t>
      </w:r>
    </w:p>
    <w:p>
      <w:pPr>
        <w:pStyle w:val="ListBullet"/>
        <w:spacing w:after="40"/>
      </w:pPr>
      <w:r>
        <w:t>District/state health bodies: ask for the appropriate health mission, e-governance, or public-health innovation contact.</w:t>
      </w:r>
    </w:p>
    <w:p>
      <w:pPr>
        <w:pStyle w:val="ListBullet"/>
        <w:spacing w:after="40"/>
      </w:pPr>
      <w:r>
        <w:t>Startup incubators: ask for a health-tech or civic-tech program, not generic mentorship only.</w:t>
      </w:r>
    </w:p>
    <w:p>
      <w:pPr>
        <w:pStyle w:val="ListBullet"/>
        <w:spacing w:after="40"/>
      </w:pPr>
      <w:r>
        <w:t>Investors: contact only after you have a pilot story, users, measurable problem, and a clear use of funds.</w:t>
      </w:r>
    </w:p>
    <w:p>
      <w:pPr>
        <w:pStyle w:val="Heading2"/>
        <w:spacing w:before="160" w:after="100"/>
      </w:pPr>
      <w:r>
        <w:t>Funding order</w:t>
      </w:r>
    </w:p>
    <w:p>
      <w:pPr>
        <w:pStyle w:val="ListBullet"/>
        <w:spacing w:after="40"/>
      </w:pPr>
      <w:r>
        <w:t>Stage 1: self-funded local demo and interviews; spend almost nothing.</w:t>
      </w:r>
    </w:p>
    <w:p>
      <w:pPr>
        <w:pStyle w:val="ListBullet"/>
        <w:spacing w:after="40"/>
      </w:pPr>
      <w:r>
        <w:t>Stage 2: pilot sponsorship or CSR support for one hospital/NGO.</w:t>
      </w:r>
    </w:p>
    <w:p>
      <w:pPr>
        <w:pStyle w:val="ListBullet"/>
        <w:spacing w:after="40"/>
      </w:pPr>
      <w:r>
        <w:t>Stage 3: incubator/grant/accelerator application with pilot evidence.</w:t>
      </w:r>
    </w:p>
    <w:p>
      <w:pPr>
        <w:pStyle w:val="ListBullet"/>
        <w:spacing w:after="40"/>
      </w:pPr>
      <w:r>
        <w:t>Stage 4: angel or pre-seed investment when you can show adoption and a repeatable buyer.</w:t>
      </w:r>
    </w:p>
    <w:p>
      <w:pPr>
        <w:pStyle w:val="ListBullet"/>
        <w:spacing w:after="40"/>
      </w:pPr>
      <w:r>
        <w:t>Stage 5: institutional or government procurement after security, support, compliance, and references are ready.</w:t>
      </w:r>
    </w:p>
    <w:p>
      <w:pPr>
        <w:pStyle w:val="Heading1"/>
        <w:spacing w:before="240" w:after="100"/>
      </w:pPr>
      <w:r>
        <w:t>10. Google Play Store path</w:t>
      </w:r>
    </w:p>
    <w:p>
      <w:pPr>
        <w:pStyle w:val="ListNumber"/>
        <w:spacing w:after="60"/>
      </w:pPr>
      <w:r>
        <w:t>Keep the Play developer account secure with recovery email and two-factor authentication.</w:t>
      </w:r>
    </w:p>
    <w:p>
      <w:pPr>
        <w:pStyle w:val="ListNumber"/>
        <w:spacing w:after="60"/>
      </w:pPr>
      <w:r>
        <w:t>Create the app entry using the final package ID; do not change it casually after release.</w:t>
      </w:r>
    </w:p>
    <w:p>
      <w:pPr>
        <w:pStyle w:val="ListNumber"/>
        <w:spacing w:after="60"/>
      </w:pPr>
      <w:r>
        <w:t>Prepare app icon, screenshots, short description, full description, privacy-policy URL, support email, and Data Safety answers.</w:t>
      </w:r>
    </w:p>
    <w:p>
      <w:pPr>
        <w:pStyle w:val="ListNumber"/>
        <w:spacing w:after="60"/>
      </w:pPr>
      <w:r>
        <w:t>Build a signed Android App Bundle, not an unsigned debug APK.</w:t>
      </w:r>
    </w:p>
    <w:p>
      <w:pPr>
        <w:pStyle w:val="ListNumber"/>
        <w:spacing w:after="60"/>
      </w:pPr>
      <w:r>
        <w:t>Use internal testing first, then closed testing with a small group.</w:t>
      </w:r>
    </w:p>
    <w:p>
      <w:pPr>
        <w:pStyle w:val="ListNumber"/>
        <w:spacing w:after="60"/>
      </w:pPr>
      <w:r>
        <w:t>Test login, permissions, offline behavior, privacy pages, account deletion, and crash behavior on real devices.</w:t>
      </w:r>
    </w:p>
    <w:p>
      <w:pPr>
        <w:pStyle w:val="ListNumber"/>
        <w:spacing w:after="60"/>
      </w:pPr>
      <w:r>
        <w:t>Use staged rollout. Watch crashes, ANRs, reviews, uninstall rate, and support tickets.</w:t>
      </w:r>
    </w:p>
    <w:p>
      <w:pPr>
        <w:pStyle w:val="ListNumber"/>
        <w:spacing w:after="60"/>
      </w:pPr>
      <w:r>
        <w:t>Do not publish claims such as guaranteed blood, government approval, medical diagnosis, or live verified stock unless those claims are true and documented.</w:t>
      </w:r>
    </w:p>
    <w:p>
      <w:pPr>
        <w:pStyle w:val="Heading1"/>
        <w:spacing w:before="240" w:after="100"/>
      </w:pPr>
      <w:r>
        <w:t>11. AI and data responsibility</w:t>
      </w:r>
    </w:p>
    <w:p>
      <w:pPr>
        <w:pStyle w:val="ListBullet"/>
        <w:spacing w:after="40"/>
      </w:pPr>
      <w:r>
        <w:t>AI may classify intent, retrieve approved educational knowledge, summarize operations, and suggest next steps.</w:t>
      </w:r>
    </w:p>
    <w:p>
      <w:pPr>
        <w:pStyle w:val="ListBullet"/>
        <w:spacing w:after="40"/>
      </w:pPr>
      <w:r>
        <w:t>AI must not diagnose, prescribe, invent donors, invent stock, expose phone numbers, or bypass compliance.</w:t>
      </w:r>
    </w:p>
    <w:p>
      <w:pPr>
        <w:pStyle w:val="ListBullet"/>
        <w:spacing w:after="40"/>
      </w:pPr>
      <w:r>
        <w:t>Keep deterministic compatibility, privacy, and authorization rules outside the LLM.</w:t>
      </w:r>
    </w:p>
    <w:p>
      <w:pPr>
        <w:pStyle w:val="ListBullet"/>
        <w:spacing w:after="40"/>
      </w:pPr>
      <w:r>
        <w:t>Use an approved knowledge corpus, document versions, citations/traceability, refusal rules, and human review.</w:t>
      </w:r>
    </w:p>
    <w:p>
      <w:pPr>
        <w:pStyle w:val="ListBullet"/>
        <w:spacing w:after="40"/>
      </w:pPr>
      <w:r>
        <w:t>Keep API keys in environment variables or a secret manager, never in Flutter or Git.</w:t>
      </w:r>
    </w:p>
    <w:p>
      <w:pPr>
        <w:pStyle w:val="ListBullet"/>
        <w:spacing w:after="40"/>
      </w:pPr>
      <w:r>
        <w:t>Track latency, failures, provider, model, prompt version, budget, and fallback without storing unnecessary personal data.</w:t>
      </w:r>
    </w:p>
    <w:p>
      <w:pPr>
        <w:pStyle w:val="Heading1"/>
        <w:spacing w:before="240" w:after="100"/>
      </w:pPr>
      <w:r>
        <w:t>12. A practical 90-day plan</w:t>
      </w:r>
    </w:p>
    <w:tbl>
      <w:tblPr>
        <w:tblW w:type="auto" w:w="0"/>
        <w:jc w:val="center"/>
        <w:tblLook w:firstColumn="1" w:firstRow="1" w:lastColumn="0" w:lastRow="0" w:noHBand="0" w:noVBand="1" w:val="04A0"/>
      </w:tblPr>
      <w:tblGrid>
        <w:gridCol w:w="5040"/>
        <w:gridCol w:w="5040"/>
      </w:tblGrid>
      <w:tr>
        <w:tc>
          <w:tcPr>
            <w:tcW w:type="dxa" w:w="5040"/>
            <w:vAlign w:val="center"/>
            <w:shd w:fill="1AA58A"/>
          </w:tcPr>
          <w:p>
            <w:r/>
            <w:r>
              <w:rPr>
                <w:b/>
                <w:color w:val="FFFFFF"/>
                <w:sz w:val="18"/>
              </w:rPr>
              <w:t>Time</w:t>
            </w:r>
          </w:p>
        </w:tc>
        <w:tc>
          <w:tcPr>
            <w:tcW w:type="dxa" w:w="5040"/>
            <w:vAlign w:val="center"/>
            <w:shd w:fill="1AA58A"/>
          </w:tcPr>
          <w:p>
            <w:r/>
            <w:r>
              <w:rPr>
                <w:b/>
                <w:color w:val="FFFFFF"/>
                <w:sz w:val="18"/>
              </w:rPr>
              <w:t>Main objective</w:t>
            </w:r>
          </w:p>
        </w:tc>
      </w:tr>
      <w:tr>
        <w:tc>
          <w:tcPr>
            <w:tcW w:type="dxa" w:w="5040"/>
            <w:vAlign w:val="center"/>
          </w:tcPr>
          <w:p>
            <w:r/>
            <w:r>
              <w:rPr>
                <w:b/>
                <w:color w:val="1B263B"/>
                <w:sz w:val="18"/>
              </w:rPr>
              <w:t>Days 1-7</w:t>
            </w:r>
          </w:p>
        </w:tc>
        <w:tc>
          <w:tcPr>
            <w:tcW w:type="dxa" w:w="5040"/>
            <w:vAlign w:val="center"/>
          </w:tcPr>
          <w:p>
            <w:r/>
            <w:r>
              <w:rPr>
                <w:b w:val="0"/>
                <w:color w:val="1B263B"/>
                <w:sz w:val="18"/>
              </w:rPr>
              <w:t>Run the local launcher, learn every flow, write down failures, and interview real users.</w:t>
            </w:r>
          </w:p>
        </w:tc>
      </w:tr>
      <w:tr>
        <w:tc>
          <w:tcPr>
            <w:tcW w:type="dxa" w:w="5040"/>
            <w:vAlign w:val="center"/>
          </w:tcPr>
          <w:p>
            <w:r/>
            <w:r>
              <w:rPr>
                <w:b/>
                <w:color w:val="1B263B"/>
                <w:sz w:val="18"/>
              </w:rPr>
              <w:t>Days 8-21</w:t>
            </w:r>
          </w:p>
        </w:tc>
        <w:tc>
          <w:tcPr>
            <w:tcW w:type="dxa" w:w="5040"/>
            <w:vAlign w:val="center"/>
          </w:tcPr>
          <w:p>
            <w:r/>
            <w:r>
              <w:rPr>
                <w:b w:val="0"/>
                <w:color w:val="1B263B"/>
                <w:sz w:val="18"/>
              </w:rPr>
              <w:t>Choose one pilot partner, define the pilot agreement, clean data, and finish device/browser acceptance tests.</w:t>
            </w:r>
          </w:p>
        </w:tc>
      </w:tr>
      <w:tr>
        <w:tc>
          <w:tcPr>
            <w:tcW w:type="dxa" w:w="5040"/>
            <w:vAlign w:val="center"/>
          </w:tcPr>
          <w:p>
            <w:r/>
            <w:r>
              <w:rPr>
                <w:b/>
                <w:color w:val="1B263B"/>
                <w:sz w:val="18"/>
              </w:rPr>
              <w:t>Days 22-35</w:t>
            </w:r>
          </w:p>
        </w:tc>
        <w:tc>
          <w:tcPr>
            <w:tcW w:type="dxa" w:w="5040"/>
            <w:vAlign w:val="center"/>
          </w:tcPr>
          <w:p>
            <w:r/>
            <w:r>
              <w:rPr>
                <w:b w:val="0"/>
                <w:color w:val="1B263B"/>
                <w:sz w:val="18"/>
              </w:rPr>
              <w:t>Add production identity, HTTPS, secrets, backups, audit, support process, and provider sandbox configuration.</w:t>
            </w:r>
          </w:p>
        </w:tc>
      </w:tr>
      <w:tr>
        <w:tc>
          <w:tcPr>
            <w:tcW w:type="dxa" w:w="5040"/>
            <w:vAlign w:val="center"/>
          </w:tcPr>
          <w:p>
            <w:r/>
            <w:r>
              <w:rPr>
                <w:b/>
                <w:color w:val="1B263B"/>
                <w:sz w:val="18"/>
              </w:rPr>
              <w:t>Days 36-50</w:t>
            </w:r>
          </w:p>
        </w:tc>
        <w:tc>
          <w:tcPr>
            <w:tcW w:type="dxa" w:w="5040"/>
            <w:vAlign w:val="center"/>
          </w:tcPr>
          <w:p>
            <w:r/>
            <w:r>
              <w:rPr>
                <w:b w:val="0"/>
                <w:color w:val="1B263B"/>
                <w:sz w:val="18"/>
              </w:rPr>
              <w:t>Run the pilot with a small group; measure time to response, accuracy, duplicate requests, and staff effort.</w:t>
            </w:r>
          </w:p>
        </w:tc>
      </w:tr>
      <w:tr>
        <w:tc>
          <w:tcPr>
            <w:tcW w:type="dxa" w:w="5040"/>
            <w:vAlign w:val="center"/>
          </w:tcPr>
          <w:p>
            <w:r/>
            <w:r>
              <w:rPr>
                <w:b/>
                <w:color w:val="1B263B"/>
                <w:sz w:val="18"/>
              </w:rPr>
              <w:t>Days 51-65</w:t>
            </w:r>
          </w:p>
        </w:tc>
        <w:tc>
          <w:tcPr>
            <w:tcW w:type="dxa" w:w="5040"/>
            <w:vAlign w:val="center"/>
          </w:tcPr>
          <w:p>
            <w:r/>
            <w:r>
              <w:rPr>
                <w:b w:val="0"/>
                <w:color w:val="1B263B"/>
                <w:sz w:val="18"/>
              </w:rPr>
              <w:t>Fix what the pilot proves; improve accessibility, empty/error states, directory verification, and console workflows.</w:t>
            </w:r>
          </w:p>
        </w:tc>
      </w:tr>
      <w:tr>
        <w:tc>
          <w:tcPr>
            <w:tcW w:type="dxa" w:w="5040"/>
            <w:vAlign w:val="center"/>
          </w:tcPr>
          <w:p>
            <w:r/>
            <w:r>
              <w:rPr>
                <w:b/>
                <w:color w:val="1B263B"/>
                <w:sz w:val="18"/>
              </w:rPr>
              <w:t>Days 66-75</w:t>
            </w:r>
          </w:p>
        </w:tc>
        <w:tc>
          <w:tcPr>
            <w:tcW w:type="dxa" w:w="5040"/>
            <w:vAlign w:val="center"/>
          </w:tcPr>
          <w:p>
            <w:r/>
            <w:r>
              <w:rPr>
                <w:b w:val="0"/>
                <w:color w:val="1B263B"/>
                <w:sz w:val="18"/>
              </w:rPr>
              <w:t>Prepare Play internal testing, privacy/data-safety material, screenshots, and release checklist.</w:t>
            </w:r>
          </w:p>
        </w:tc>
      </w:tr>
      <w:tr>
        <w:tc>
          <w:tcPr>
            <w:tcW w:type="dxa" w:w="5040"/>
            <w:vAlign w:val="center"/>
          </w:tcPr>
          <w:p>
            <w:r/>
            <w:r>
              <w:rPr>
                <w:b/>
                <w:color w:val="1B263B"/>
                <w:sz w:val="18"/>
              </w:rPr>
              <w:t>Days 76-90</w:t>
            </w:r>
          </w:p>
        </w:tc>
        <w:tc>
          <w:tcPr>
            <w:tcW w:type="dxa" w:w="5040"/>
            <w:vAlign w:val="center"/>
          </w:tcPr>
          <w:p>
            <w:r/>
            <w:r>
              <w:rPr>
                <w:b w:val="0"/>
                <w:color w:val="1B263B"/>
                <w:sz w:val="18"/>
              </w:rPr>
              <w:t>Decide: continue as pilot, apply for incubator/CSR support, or prepare an investor/government proposal using measured results.</w:t>
            </w:r>
          </w:p>
        </w:tc>
      </w:tr>
    </w:tbl>
    <w:p>
      <w:pPr>
        <w:pStyle w:val="Heading1"/>
        <w:spacing w:before="240" w:after="100"/>
      </w:pPr>
      <w:r>
        <w:t>13. Your next exact actions</w:t>
      </w:r>
    </w:p>
    <w:p>
      <w:pPr>
        <w:pStyle w:val="ListNumber"/>
        <w:spacing w:after="60"/>
      </w:pPr>
      <w:r>
        <w:t>Run the local_testing.ps1 launcher and open /health, /docs, /app/, and /console.</w:t>
      </w:r>
    </w:p>
    <w:p>
      <w:pPr>
        <w:pStyle w:val="ListNumber"/>
        <w:spacing w:after="60"/>
      </w:pPr>
      <w:r>
        <w:t>Create a notebook called SaHayak Pilot Notes and record every issue in plain language.</w:t>
      </w:r>
    </w:p>
    <w:p>
      <w:pPr>
        <w:pStyle w:val="ListNumber"/>
        <w:spacing w:after="60"/>
      </w:pPr>
      <w:r>
        <w:t>Select one city and make a list of 20 potential pilot contacts.</w:t>
      </w:r>
    </w:p>
    <w:p>
      <w:pPr>
        <w:pStyle w:val="ListNumber"/>
        <w:spacing w:after="60"/>
      </w:pPr>
      <w:r>
        <w:t>Speak to at least five real users before building more features.</w:t>
      </w:r>
    </w:p>
    <w:p>
      <w:pPr>
        <w:pStyle w:val="ListNumber"/>
        <w:spacing w:after="60"/>
      </w:pPr>
      <w:r>
        <w:t>Create a one-page pilot offer: problem, workflow, safety limits, timeline, measures, and contact details.</w:t>
      </w:r>
    </w:p>
    <w:p>
      <w:pPr>
        <w:pStyle w:val="ListNumber"/>
        <w:spacing w:after="60"/>
      </w:pPr>
      <w:r>
        <w:t>Ask a CA/company secretary about entity choice, GST, DPIIT, Udyam, contracts, and trademark.</w:t>
      </w:r>
    </w:p>
    <w:p>
      <w:pPr>
        <w:pStyle w:val="ListNumber"/>
        <w:spacing w:after="60"/>
      </w:pPr>
      <w:r>
        <w:t>Ask a lawyer or privacy specialist to review DPDP/privacy/health-data implications before handling real patient data.</w:t>
      </w:r>
    </w:p>
    <w:p>
      <w:pPr>
        <w:pStyle w:val="ListNumber"/>
        <w:spacing w:after="60"/>
      </w:pPr>
      <w:r>
        <w:t>Do not buy paid providers until a pilot partner confirms the exact channel and volume needed.</w:t>
      </w:r>
    </w:p>
    <w:tbl>
      <w:tblPr>
        <w:tblW w:type="auto" w:w="0"/>
        <w:jc w:val="center"/>
        <w:tblLook w:firstColumn="1" w:firstRow="1" w:lastColumn="0" w:lastRow="0" w:noHBand="0" w:noVBand="1" w:val="04A0"/>
      </w:tblPr>
      <w:tblGrid>
        <w:gridCol w:w="10080"/>
      </w:tblGrid>
      <w:tr>
        <w:tc>
          <w:tcPr>
            <w:tcW w:type="dxa" w:w="10080"/>
          </w:tcPr>
          <w:p>
            <w:pPr>
              <w:spacing w:after="40"/>
            </w:pPr>
            <w:r/>
            <w:r>
              <w:rPr>
                <w:b/>
                <w:color w:val="C22B4A"/>
              </w:rPr>
              <w:t xml:space="preserve">Your simple decision rule: </w:t>
            </w:r>
            <w:r>
              <w:t>Every new feature must answer one question: does it reduce time to trustworthy help, improve safety/privacy, or make a paying organization more effective? If not, postpone it.</w:t>
            </w:r>
          </w:p>
        </w:tc>
      </w:tr>
    </w:tbl>
    <w:p/>
    <w:p>
      <w:pPr>
        <w:pStyle w:val="Heading1"/>
      </w:pPr>
      <w:r>
        <w:t>Appendix: useful project locations</w:t>
      </w:r>
    </w:p>
    <w:p>
      <w:pPr>
        <w:pStyle w:val="ListBullet"/>
        <w:spacing w:after="40"/>
      </w:pPr>
      <w:r>
        <w:t>Local launcher: scripts/local_testing.ps1</w:t>
      </w:r>
    </w:p>
    <w:p>
      <w:pPr>
        <w:pStyle w:val="ListBullet"/>
        <w:spacing w:after="40"/>
      </w:pPr>
      <w:r>
        <w:t>Flutter app: frontend/mobile</w:t>
      </w:r>
    </w:p>
    <w:p>
      <w:pPr>
        <w:pStyle w:val="ListBullet"/>
        <w:spacing w:after="40"/>
      </w:pPr>
      <w:r>
        <w:t>Middleware API: middleware/app/main.py</w:t>
      </w:r>
    </w:p>
    <w:p>
      <w:pPr>
        <w:pStyle w:val="ListBullet"/>
        <w:spacing w:after="40"/>
      </w:pPr>
      <w:r>
        <w:t>AI graph: middleware/app/graph</w:t>
      </w:r>
    </w:p>
    <w:p>
      <w:pPr>
        <w:pStyle w:val="ListBullet"/>
        <w:spacing w:after="40"/>
      </w:pPr>
      <w:r>
        <w:t>Local data/database directory: middleware/data</w:t>
      </w:r>
    </w:p>
    <w:p>
      <w:pPr>
        <w:pStyle w:val="ListBullet"/>
        <w:spacing w:after="40"/>
      </w:pPr>
      <w:r>
        <w:t>Project configuration: config/sahayak.json</w:t>
      </w:r>
    </w:p>
    <w:p>
      <w:pPr>
        <w:pStyle w:val="ListBullet"/>
        <w:spacing w:after="40"/>
      </w:pPr>
      <w:r>
        <w:t>Word/PPT project files: G:\SaHayak_Partnership_Brief.docx and G:\SaHayak_Investor_Partnership_Presentation.pptx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42B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5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42B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C061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