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FA6D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HECKTOR Major Project — Working Context</w:t>
      </w:r>
    </w:p>
    <w:p w14:paraId="1C7D62F1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Purpose of this file:</w:t>
      </w:r>
      <w:r>
        <w:rPr>
          <w:rFonts w:hint="default" w:asciiTheme="minorAscii" w:hAnsiTheme="minorAscii"/>
        </w:rPr>
        <w:t xml:space="preserve"> background for any new chat about this project. Read it before answering questions so we don't re-derive settled decisions.</w:t>
      </w:r>
    </w:p>
    <w:p w14:paraId="362650BF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Student:</w:t>
      </w:r>
      <w:r>
        <w:rPr>
          <w:rFonts w:hint="default" w:asciiTheme="minorAscii" w:hAnsiTheme="minorAscii"/>
        </w:rPr>
        <w:t xml:space="preserve"> M.Tech CSE (AI &amp; ML), VIT Vellore </w:t>
      </w:r>
      <w:r>
        <w:rPr>
          <w:rStyle w:val="11"/>
          <w:rFonts w:hint="default" w:asciiTheme="minorAscii" w:hAnsiTheme="minorAscii"/>
        </w:rPr>
        <w:t>Duration:</w:t>
      </w:r>
      <w:r>
        <w:rPr>
          <w:rFonts w:hint="default" w:asciiTheme="minorAscii" w:hAnsiTheme="minorAscii"/>
        </w:rPr>
        <w:t xml:space="preserve"> 14 weeks · 10 credits · set project (cannot be swapped) </w:t>
      </w:r>
      <w:r>
        <w:rPr>
          <w:rStyle w:val="11"/>
          <w:rFonts w:hint="default" w:asciiTheme="minorAscii" w:hAnsiTheme="minorAscii"/>
        </w:rPr>
        <w:t>Local working folder:</w:t>
      </w:r>
      <w:r>
        <w:rPr>
          <w:rFonts w:hint="default" w:asciiTheme="minorAscii" w:hAnsiTheme="minorAscii"/>
        </w:rPr>
        <w:t xml:space="preserve"> </w:t>
      </w:r>
      <w:r>
        <w:rPr>
          <w:rStyle w:val="8"/>
          <w:rFonts w:hint="default" w:asciiTheme="minorAscii" w:hAnsiTheme="minorAscii"/>
        </w:rPr>
        <w:t>C:\Users\0561r\OneDrive\Desktop\Hecktor major project</w:t>
      </w:r>
    </w:p>
    <w:p w14:paraId="039F39AA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859F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1. What the project is</w:t>
      </w:r>
    </w:p>
    <w:p w14:paraId="22F1FC23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Title (working):</w:t>
      </w:r>
      <w:r>
        <w:rPr>
          <w:rFonts w:hint="default" w:asciiTheme="minorAscii" w:hAnsiTheme="minorAscii"/>
        </w:rPr>
        <w:t xml:space="preserve"> Acquisition-Conditioned Fusion (ACF) — spacing-conditioned multi-modal PET/CT tumour segmentation with calibrated uncertainty, for head-and-neck oncology.</w:t>
      </w:r>
    </w:p>
    <w:p w14:paraId="0E2F2ED9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Automatic delineation of the Gross Tumour Volume (GTV) in head-and-neck cancer requires fusing high-resolution anatomical CT with low-resolution functional FDG-PET. Multi-centre data varies widely in voxel spacing and slice thickness. Standard pipelines resample everything to a fixed grid — lossy, and brittle across scanners.</w:t>
      </w:r>
    </w:p>
    <w:p w14:paraId="23A18193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project conditions the segmentation network on each scan's own acquisition geometry at inference time, and additionally produces uncertainty estimates that are explicitly calibrated rather than merely reported.</w:t>
      </w:r>
    </w:p>
    <w:p w14:paraId="4E427904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14BB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2. CRITICAL — prior art that constrains the novelty claim</w:t>
      </w:r>
      <w:bookmarkStart w:id="0" w:name="_GoBack"/>
      <w:bookmarkEnd w:id="0"/>
    </w:p>
    <w:p w14:paraId="4100BD99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HyperSpace: Hypernetworks for spacing-adaptive image segmentation.</w:t>
      </w:r>
      <w:r>
        <w:rPr>
          <w:rFonts w:hint="default" w:asciiTheme="minorAscii" w:hAnsiTheme="minorAscii"/>
        </w:rPr>
        <w:t xml:space="preserve"> Joutard, Pietsch &amp; Prevost (ImFusion GmbH), MICCAI 2024. arXiv:2407.03681. Code: https://github.com/ImFusionGmbH/HyperSpace</w:t>
      </w:r>
    </w:p>
    <w:p w14:paraId="5D3E94E6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HyperSpace already does the core mechanism: conditions a segmentation U-Net on voxel spacing via a hypernetwork, processes at native resolution, avoids resampling loss, claims reduced VRAM/time.</w:t>
      </w:r>
    </w:p>
    <w:p w14:paraId="377E992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Do not claim spacing-conditioned hypernetworks as novel.</w:t>
      </w:r>
      <w:r>
        <w:rPr>
          <w:rFonts w:hint="default" w:asciiTheme="minorAscii" w:hAnsiTheme="minorAscii"/>
        </w:rPr>
        <w:t xml:space="preserve"> That claim is anticipated. Cite HyperSpace as the acknowledged foundation.</w:t>
      </w:r>
    </w:p>
    <w:p w14:paraId="78701FE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What is still open (this is the actual contribution)</w:t>
      </w:r>
    </w:p>
    <w:p w14:paraId="0771EA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Multi-modal.</w:t>
      </w:r>
      <w:r>
        <w:rPr>
          <w:rFonts w:hint="default" w:asciiTheme="minorAscii" w:hAnsiTheme="minorAscii"/>
        </w:rPr>
        <w:t xml:space="preserve"> HyperSpace is single-modality. A dual-encoder PET/CT design with </w:t>
      </w:r>
      <w:r>
        <w:rPr>
          <w:rStyle w:val="7"/>
          <w:rFonts w:hint="default" w:asciiTheme="minorAscii" w:hAnsiTheme="minorAscii"/>
        </w:rPr>
        <w:t>independent conditioning vectors per modality</w:t>
      </w:r>
      <w:r>
        <w:rPr>
          <w:rFonts w:hint="default" w:asciiTheme="minorAscii" w:hAnsiTheme="minorAscii"/>
        </w:rPr>
        <w:t>, handling the 4–5× native resolution asymmetry between them, is not something they did.</w:t>
      </w:r>
    </w:p>
    <w:p w14:paraId="57DD58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Uncertainty.</w:t>
      </w:r>
      <w:r>
        <w:rPr>
          <w:rFonts w:hint="default" w:asciiTheme="minorAscii" w:hAnsiTheme="minorAscii"/>
        </w:rPr>
        <w:t xml:space="preserve"> HyperSpace has no uncertainty or calibration component at all.</w:t>
      </w:r>
    </w:p>
    <w:p w14:paraId="3C112C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Disputed benefit.</w:t>
      </w:r>
      <w:r>
        <w:rPr>
          <w:rFonts w:hint="default" w:asciiTheme="minorAscii" w:hAnsiTheme="minorAscii"/>
        </w:rPr>
        <w:t xml:space="preserve"> The public MICCAI reviews criticised HyperSpace for not demonstrating a clear benefit over a properly chosen fixed-scale model, and for never disclosing or evaluating the hardware requirements behind its efficiency claims. Rigorously testing this — with actual VRAM and wall-clock measurements — is a legitimate open question.</w:t>
      </w:r>
    </w:p>
    <w:p w14:paraId="4277171C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B185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3. Settled decisions (do not relitigate)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3"/>
        <w:gridCol w:w="6653"/>
      </w:tblGrid>
      <w:tr w14:paraId="72477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7686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Question</w:t>
            </w:r>
          </w:p>
        </w:tc>
        <w:tc>
          <w:tcPr>
            <w:tcW w:w="0" w:type="auto"/>
            <w:shd w:val="clear"/>
            <w:vAlign w:val="center"/>
          </w:tcPr>
          <w:p w14:paraId="18AB5F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Resolution</w:t>
            </w:r>
          </w:p>
        </w:tc>
      </w:tr>
      <w:tr w14:paraId="2F925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0D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CT-MRI fusion?</w:t>
            </w:r>
          </w:p>
        </w:tc>
        <w:tc>
          <w:tcPr>
            <w:tcW w:w="0" w:type="auto"/>
            <w:shd w:val="clear"/>
            <w:vAlign w:val="center"/>
          </w:tcPr>
          <w:p w14:paraId="425A8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No.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HEAD-NECK-RADIOMICS-HN1 and Head-Neck-CT-Atlas are CT / PET-CT only, no MR. Verified.</w:t>
            </w:r>
          </w:p>
        </w:tc>
      </w:tr>
      <w:tr w14:paraId="6AFFB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88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Dilation proportional to spacing?</w:t>
            </w:r>
          </w:p>
        </w:tc>
        <w:tc>
          <w:tcPr>
            <w:tcW w:w="0" w:type="auto"/>
            <w:shd w:val="clear"/>
            <w:vAlign w:val="center"/>
          </w:tcPr>
          <w:p w14:paraId="0D1544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No.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Dilation is integer-only; spacing ratios are continuous. Dilated kernels also sample a sparse lattice (gridding). Use continuous conditioning (FiLM) instead.</w:t>
            </w:r>
          </w:p>
        </w:tc>
      </w:tr>
      <w:tr w14:paraId="516F1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BB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Uncertainty → CTV margin?</w:t>
            </w:r>
          </w:p>
        </w:tc>
        <w:tc>
          <w:tcPr>
            <w:tcW w:w="0" w:type="auto"/>
            <w:shd w:val="clear"/>
            <w:vAlign w:val="center"/>
          </w:tcPr>
          <w:p w14:paraId="5178D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No.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CTV is a </w:t>
            </w:r>
            <w:r>
              <w:rPr>
                <w:rStyle w:val="7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biological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margin for microscopic spread, anatomically constrained (ICRU 50/62/83). Delineation uncertainty belongs to the </w:t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PTV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(van Herk). Frame any margin work as decision-support overlay only.</w:t>
            </w:r>
          </w:p>
        </w:tc>
      </w:tr>
      <w:tr w14:paraId="509A7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19C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Patent priority?</w:t>
            </w:r>
          </w:p>
        </w:tc>
        <w:tc>
          <w:tcPr>
            <w:tcW w:w="0" w:type="auto"/>
            <w:shd w:val="clear"/>
            <w:vAlign w:val="center"/>
          </w:tcPr>
          <w:p w14:paraId="287D4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Secondary. 10 credits ride on the thesis; the patent is a bonus. Do not let patent framing distort the research.</w:t>
            </w:r>
          </w:p>
        </w:tc>
      </w:tr>
      <w:tr w14:paraId="5027A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28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Patent claim scope</w:t>
            </w:r>
          </w:p>
        </w:tc>
        <w:tc>
          <w:tcPr>
            <w:tcW w:w="0" w:type="auto"/>
            <w:shd w:val="clear"/>
            <w:vAlign w:val="center"/>
          </w:tcPr>
          <w:p w14:paraId="61B7A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If filed: system/apparatus claim only, never a method of generating a target volume (Indian Patents Act §3(i) excludes therapeutic methods; §3(k) excludes algorithms per se). IDF-B needs experimental results — file around Week 12, not now.</w:t>
            </w:r>
          </w:p>
        </w:tc>
      </w:tr>
    </w:tbl>
    <w:p w14:paraId="01606B2F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86D6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4. Dataset</w:t>
      </w:r>
    </w:p>
    <w:p w14:paraId="0348F016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Primary: HECKTOR</w:t>
      </w:r>
      <w:r>
        <w:rPr>
          <w:rFonts w:hint="default" w:asciiTheme="minorAscii" w:hAnsiTheme="minorAscii"/>
        </w:rPr>
        <w:t xml:space="preserve"> (grand-challenge.org). Multi-centre FDG-PET/CT with expert GTV masks (GTVp = primary, GTVn = nodal).</w:t>
      </w:r>
    </w:p>
    <w:p w14:paraId="1D3559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Delivered as </w:t>
      </w:r>
      <w:r>
        <w:rPr>
          <w:rStyle w:val="11"/>
          <w:rFonts w:hint="default" w:asciiTheme="minorAscii" w:hAnsiTheme="minorAscii"/>
        </w:rPr>
        <w:t>NIfTI</w:t>
      </w:r>
      <w:r>
        <w:rPr>
          <w:rFonts w:hint="default" w:asciiTheme="minorAscii" w:hAnsiTheme="minorAscii"/>
        </w:rPr>
        <w:t xml:space="preserve">, not raw DICOM — per-patient folders, </w:t>
      </w:r>
      <w:r>
        <w:rPr>
          <w:rStyle w:val="8"/>
          <w:rFonts w:hint="default" w:asciiTheme="minorAscii" w:hAnsiTheme="minorAscii"/>
        </w:rPr>
        <w:t>PATIENT__CT.nii.gz</w:t>
      </w:r>
      <w:r>
        <w:rPr>
          <w:rFonts w:hint="default" w:asciiTheme="minorAscii" w:hAnsiTheme="minorAscii"/>
        </w:rPr>
        <w:t xml:space="preserve">, </w:t>
      </w:r>
      <w:r>
        <w:rPr>
          <w:rStyle w:val="8"/>
          <w:rFonts w:hint="default" w:asciiTheme="minorAscii" w:hAnsiTheme="minorAscii"/>
        </w:rPr>
        <w:t>PATIENT__PT.nii.gz</w:t>
      </w:r>
      <w:r>
        <w:rPr>
          <w:rFonts w:hint="default" w:asciiTheme="minorAscii" w:hAnsiTheme="minorAscii"/>
        </w:rPr>
        <w:t>, label file.</w:t>
      </w:r>
    </w:p>
    <w:p w14:paraId="561B50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PET already registered to CT.</w:t>
      </w:r>
      <w:r>
        <w:rPr>
          <w:rFonts w:hint="default" w:asciiTheme="minorAscii" w:hAnsiTheme="minorAscii"/>
        </w:rPr>
        <w:t xml:space="preserve"> No manual multi-modal registration needed.</w:t>
      </w:r>
    </w:p>
    <w:p w14:paraId="524C18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Accompanying metadata includes clinical centre, scanner information and DICOM acquisition parameters — the source of the conditioning vector.</w:t>
      </w:r>
    </w:p>
    <w:p w14:paraId="7F53F7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Access requires application + data use agreement, </w:t>
      </w:r>
      <w:r>
        <w:rPr>
          <w:rStyle w:val="11"/>
          <w:rFonts w:hint="default" w:asciiTheme="minorAscii" w:hAnsiTheme="minorAscii"/>
        </w:rPr>
        <w:t>manually approved</w:t>
      </w:r>
      <w:r>
        <w:rPr>
          <w:rFonts w:hint="default" w:asciiTheme="minorAscii" w:hAnsiTheme="minorAscii"/>
        </w:rPr>
        <w:t xml:space="preserve"> (days, not minutes).</w:t>
      </w:r>
    </w:p>
    <w:p w14:paraId="75B744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Current edition also requires compliance with US data-transfer rules (EO 14117, 28 CFR Part 202, NIH NOT-OD-25-083). India is not a country of concern, but read the terms before agreeing.</w:t>
      </w:r>
    </w:p>
    <w:p w14:paraId="436E8E8D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Fallback / external validation:</w:t>
      </w:r>
      <w:r>
        <w:rPr>
          <w:rFonts w:hint="default" w:asciiTheme="minorAscii" w:hAnsiTheme="minorAscii"/>
        </w:rPr>
        <w:t xml:space="preserve"> Head-Neck-PET-CT (TCIA). </w:t>
      </w:r>
      <w:r>
        <w:rPr>
          <w:rStyle w:val="11"/>
          <w:rFonts w:hint="default" w:asciiTheme="minorAscii" w:hAnsiTheme="minorAscii"/>
        </w:rPr>
        <w:t>Prototyping while waiting for approval:</w:t>
      </w:r>
      <w:r>
        <w:rPr>
          <w:rFonts w:hint="default" w:asciiTheme="minorAscii" w:hAnsiTheme="minorAscii"/>
        </w:rPr>
        <w:t xml:space="preserve"> Medical Segmentation Decathlon — free, instant, NIfTI, genuine spacing variation.</w:t>
      </w:r>
    </w:p>
    <w:p w14:paraId="1BA03230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3FC1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5. Method</w:t>
      </w:r>
    </w:p>
    <w:p w14:paraId="6A989934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Component A — Acquisition-conditioned hypernetwork</w:t>
      </w:r>
      <w:r>
        <w:rPr>
          <w:rFonts w:hint="default" w:asciiTheme="minorAscii" w:hAnsiTheme="minorAscii"/>
        </w:rPr>
        <w:t xml:space="preserve"> Conditioning vector </w:t>
      </w:r>
      <w:r>
        <w:rPr>
          <w:rStyle w:val="8"/>
          <w:rFonts w:hint="default" w:asciiTheme="minorAscii" w:hAnsiTheme="minorAscii"/>
        </w:rPr>
        <w:t>v = [spacing_x, spacing_y, slice_thickness, modality]</w:t>
      </w:r>
      <w:r>
        <w:rPr>
          <w:rFonts w:hint="default" w:asciiTheme="minorAscii" w:hAnsiTheme="minorAscii"/>
        </w:rPr>
        <w:t xml:space="preserve">, normalised against training statistics, separately per modality. Small MLP </w:t>
      </w:r>
      <w:r>
        <w:rPr>
          <w:rStyle w:val="8"/>
          <w:rFonts w:hint="default" w:asciiTheme="minorAscii" w:hAnsiTheme="minorAscii"/>
        </w:rPr>
        <w:t>H(v) → FiLM (γ, β)</w:t>
      </w:r>
      <w:r>
        <w:rPr>
          <w:rFonts w:hint="default" w:asciiTheme="minorAscii" w:hAnsiTheme="minorAscii"/>
        </w:rPr>
        <w:t xml:space="preserve"> per encoder block. Dual-encoder 3D U-Net (MONAI base), cross-modal fusion at bottleneck + skips, single decoder.</w:t>
      </w:r>
    </w:p>
    <w:p w14:paraId="0976EC1B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7"/>
          <w:rFonts w:hint="default" w:asciiTheme="minorAscii" w:hAnsiTheme="minorAscii"/>
        </w:rPr>
        <w:t>Tier 1 (primary): FiLM modulation — stable, cheap.</w:t>
      </w:r>
      <w:r>
        <w:rPr>
          <w:rFonts w:hint="default" w:asciiTheme="minorAscii" w:hAnsiTheme="minorAscii"/>
        </w:rPr>
        <w:t xml:space="preserve"> </w:t>
      </w:r>
      <w:r>
        <w:rPr>
          <w:rStyle w:val="7"/>
          <w:rFonts w:hint="default" w:asciiTheme="minorAscii" w:hAnsiTheme="minorAscii"/>
        </w:rPr>
        <w:t>Tier 2 (stretch, only if Tier 1 works): direct weight generation.</w:t>
      </w:r>
    </w:p>
    <w:p w14:paraId="6D0FDC39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Component B — Calibrated evidential uncertainty</w:t>
      </w:r>
      <w:r>
        <w:rPr>
          <w:rFonts w:hint="default" w:asciiTheme="minorAscii" w:hAnsiTheme="minorAscii"/>
        </w:rPr>
        <w:t xml:space="preserve"> Dirichlet concentration parameters instead of softmax. Evidential loss (Sensoy et al. 2018) + Dice, with annealed KL. Single forward pass — ensembles are too expensive on Colab.</w:t>
      </w:r>
    </w:p>
    <w:p w14:paraId="128D50E1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Component C — Margin overlay (expendable)</w:t>
      </w:r>
      <w:r>
        <w:rPr>
          <w:rFonts w:hint="default" w:asciiTheme="minorAscii" w:hAnsiTheme="minorAscii"/>
        </w:rPr>
        <w:t xml:space="preserve"> Decision-support visualisation only. Cut this first if time runs short; A and B alone are a complete thesis.</w:t>
      </w:r>
    </w:p>
    <w:p w14:paraId="4E915E5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FD42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6. Experiments</w:t>
      </w:r>
    </w:p>
    <w:p w14:paraId="2CE236F9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Baselines</w:t>
      </w:r>
    </w:p>
    <w:p w14:paraId="7B23D9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Single-modality 3D U-Net, resample-to-isotropic</w:t>
      </w:r>
    </w:p>
    <w:p w14:paraId="6FCB08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Dual-encoder PET/CT 3D U-Net, resample-to-isotropic — </w:t>
      </w:r>
      <w:r>
        <w:rPr>
          <w:rStyle w:val="7"/>
          <w:rFonts w:hint="default" w:asciiTheme="minorAscii" w:hAnsiTheme="minorAscii"/>
        </w:rPr>
        <w:t>the main comparison</w:t>
      </w:r>
    </w:p>
    <w:p w14:paraId="35599F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nnU-Net default config — </w:t>
      </w:r>
      <w:r>
        <w:rPr>
          <w:rStyle w:val="7"/>
          <w:rFonts w:hint="default" w:asciiTheme="minorAscii" w:hAnsiTheme="minorAscii"/>
        </w:rPr>
        <w:t>hard baseline, may well win</w:t>
      </w:r>
    </w:p>
    <w:p w14:paraId="6A8D33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ACF with conditioning vector zeroed — isolates the conditioning contribution</w:t>
      </w:r>
    </w:p>
    <w:p w14:paraId="141129DA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The three that matter</w:t>
      </w:r>
    </w:p>
    <w:p w14:paraId="49DE16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Held-out-centre generalisation</w:t>
      </w:r>
      <w:r>
        <w:rPr>
          <w:rFonts w:hint="default" w:asciiTheme="minorAscii" w:hAnsiTheme="minorAscii"/>
        </w:rPr>
        <w:t xml:space="preserve"> — train on centres A–F, test on G. Central hypothesis.</w:t>
      </w:r>
    </w:p>
    <w:p w14:paraId="3E2A8A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Controlled anisotropy degradation</w:t>
      </w:r>
      <w:r>
        <w:rPr>
          <w:rFonts w:hint="default" w:asciiTheme="minorAscii" w:hAnsiTheme="minorAscii"/>
        </w:rPr>
        <w:t xml:space="preserve"> — artificially coarsen through-plane axis (2→3→5→7mm), plot Dice vs thickness per method.</w:t>
      </w:r>
    </w:p>
    <w:p w14:paraId="59A308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Resource measurement</w:t>
      </w:r>
      <w:r>
        <w:rPr>
          <w:rFonts w:hint="default" w:asciiTheme="minorAscii" w:hAnsiTheme="minorAscii"/>
        </w:rPr>
        <w:t xml:space="preserve"> — peak VRAM and preprocessing wall-clock, with and without the resampling stage. This is the evidence HyperSpace's reviewers said was missing.</w:t>
      </w:r>
    </w:p>
    <w:p w14:paraId="52375052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Metrics:</w:t>
      </w:r>
      <w:r>
        <w:rPr>
          <w:rFonts w:hint="default" w:asciiTheme="minorAscii" w:hAnsiTheme="minorAscii"/>
        </w:rPr>
        <w:t xml:space="preserve"> Dice (aggregate), HD95, surface Dice @2mm/@3mm, ECE, reliability diagrams. Paired Wilcoxon with multiple-comparison correction; report effect sizes.</w:t>
      </w:r>
    </w:p>
    <w:p w14:paraId="50F7F5D2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If nnU-Net wins:</w:t>
      </w:r>
      <w:r>
        <w:rPr>
          <w:rFonts w:hint="default" w:asciiTheme="minorAscii" w:hAnsiTheme="minorAscii"/>
        </w:rPr>
        <w:t xml:space="preserve"> reframe as a rigorous comparative study with mechanism analysis. A well-analysed negative result is a valid dissertation. Decide this framing early, not in Week 12.</w:t>
      </w:r>
    </w:p>
    <w:p w14:paraId="2607E5E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89D8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7. Compute</w:t>
      </w:r>
    </w:p>
    <w:p w14:paraId="53C06447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Google Colab Pro (free tier will not complete this). Drive for checkpoints. Patch-based training (128×128×64 or 96³), batch 2 + gradient accumulation, mixed precision, </w:t>
      </w:r>
      <w:r>
        <w:rPr>
          <w:rStyle w:val="11"/>
          <w:rFonts w:hint="default" w:asciiTheme="minorAscii" w:hAnsiTheme="minorAscii"/>
        </w:rPr>
        <w:t>per-epoch checkpointing to Drive from day one</w:t>
      </w:r>
      <w:r>
        <w:rPr>
          <w:rFonts w:hint="default" w:asciiTheme="minorAscii" w:hAnsiTheme="minorAscii"/>
        </w:rPr>
        <w:t>. Expect 6–12h per run, 15–25 runs total.</w:t>
      </w:r>
    </w:p>
    <w:p w14:paraId="7D27C3A7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Stack:</w:t>
      </w:r>
      <w:r>
        <w:rPr>
          <w:rFonts w:hint="default" w:asciiTheme="minorAscii" w:hAnsiTheme="minorAscii"/>
        </w:rPr>
        <w:t xml:space="preserve"> python ≥3.10, torch ≥2.1, monai ≥1.3, SimpleITK, nibabel, pydicom, numpy/scipy/pandas, scikit-image, matplotlib, wandb.</w:t>
      </w:r>
    </w:p>
    <w:p w14:paraId="0898E92F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3A2B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8. Fourteen-week plan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"/>
        <w:gridCol w:w="7650"/>
      </w:tblGrid>
      <w:tr w14:paraId="016E5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469E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Weeks</w:t>
            </w:r>
          </w:p>
        </w:tc>
        <w:tc>
          <w:tcPr>
            <w:tcW w:w="0" w:type="auto"/>
            <w:shd w:val="clear"/>
            <w:vAlign w:val="center"/>
          </w:tcPr>
          <w:p w14:paraId="3C04D3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</w:tr>
      <w:tr w14:paraId="5B167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0C2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ED5A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Dataset application (day one), Colab Pro, repo, tracking</w:t>
            </w:r>
          </w:p>
        </w:tc>
      </w:tr>
      <w:tr w14:paraId="25A97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CE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76CA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Spacing distribution analysis across centres → </w:t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Figure 1</w:t>
            </w:r>
          </w:p>
        </w:tc>
      </w:tr>
      <w:tr w14:paraId="36149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53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3–4</w:t>
            </w:r>
          </w:p>
        </w:tc>
        <w:tc>
          <w:tcPr>
            <w:tcW w:w="0" w:type="auto"/>
            <w:shd w:val="clear"/>
            <w:vAlign w:val="center"/>
          </w:tcPr>
          <w:p w14:paraId="05FB1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Baselines 1 and 2 trained, reference numbers recorded</w:t>
            </w:r>
          </w:p>
        </w:tc>
      </w:tr>
      <w:tr w14:paraId="0F258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33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5–7</w:t>
            </w:r>
          </w:p>
        </w:tc>
        <w:tc>
          <w:tcPr>
            <w:tcW w:w="0" w:type="auto"/>
            <w:shd w:val="clear"/>
            <w:vAlign w:val="center"/>
          </w:tcPr>
          <w:p w14:paraId="138CC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Hypernetwork + FiLM implemented, integrated, first comparison</w:t>
            </w:r>
          </w:p>
        </w:tc>
      </w:tr>
      <w:tr w14:paraId="71530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B8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8–9</w:t>
            </w:r>
          </w:p>
        </w:tc>
        <w:tc>
          <w:tcPr>
            <w:tcW w:w="0" w:type="auto"/>
            <w:shd w:val="clear"/>
            <w:vAlign w:val="center"/>
          </w:tcPr>
          <w:p w14:paraId="2255A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Evidential head, calibration, ECE, reliability diagrams</w:t>
            </w:r>
          </w:p>
        </w:tc>
      </w:tr>
      <w:tr w14:paraId="0F6B0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A2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10–11</w:t>
            </w:r>
          </w:p>
        </w:tc>
        <w:tc>
          <w:tcPr>
            <w:tcW w:w="0" w:type="auto"/>
            <w:shd w:val="clear"/>
            <w:vAlign w:val="center"/>
          </w:tcPr>
          <w:p w14:paraId="40A12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Held-out-centre, anisotropy sweep, ablation, resource measurement, statistics</w:t>
            </w:r>
          </w:p>
        </w:tc>
      </w:tr>
      <w:tr w14:paraId="5DE8E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4BB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0136D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Overlay demo, results chapter drafted</w:t>
            </w:r>
          </w:p>
        </w:tc>
      </w:tr>
      <w:tr w14:paraId="50A67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4D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5F514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Provisional filing (if pursuing) — </w:t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before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the paper</w:t>
            </w:r>
          </w:p>
        </w:tc>
      </w:tr>
      <w:tr w14:paraId="50374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12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7511E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Thesis compiled, manuscript submitted</w:t>
            </w:r>
          </w:p>
        </w:tc>
      </w:tr>
    </w:tbl>
    <w:p w14:paraId="61007FE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No slack. If Week 1 slips, cut Component C first.</w:t>
      </w:r>
    </w:p>
    <w:p w14:paraId="7E0351D8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23BA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9. Suggested folder layout</w:t>
      </w:r>
    </w:p>
    <w:p w14:paraId="4DF882EC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Hecktor major project/</w:t>
      </w:r>
    </w:p>
    <w:p w14:paraId="35C83FBD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├── data/            # raw + preprocessed (gitignored)</w:t>
      </w:r>
    </w:p>
    <w:p w14:paraId="33DE3F52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├── src/</w:t>
      </w:r>
    </w:p>
    <w:p w14:paraId="66632708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│   ├── metadata/    # conditioning vector extraction</w:t>
      </w:r>
    </w:p>
    <w:p w14:paraId="1877BE16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│   ├── models/      # ACF, baselines</w:t>
      </w:r>
    </w:p>
    <w:p w14:paraId="2ADF5BCB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│   ├── training/</w:t>
      </w:r>
    </w:p>
    <w:p w14:paraId="20B4CE03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│   └── eval/</w:t>
      </w:r>
    </w:p>
    <w:p w14:paraId="60C9E88B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├── notebooks/       # Colab notebooks</w:t>
      </w:r>
    </w:p>
    <w:p w14:paraId="244FFE98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├── configs/</w:t>
      </w:r>
    </w:p>
    <w:p w14:paraId="286911F1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├── results/         # figures, tables, logs</w:t>
      </w:r>
    </w:p>
    <w:p w14:paraId="1B2A108A">
      <w:pPr>
        <w:pStyle w:val="9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├── docs/            # proposal, Form B, thesis drafts</w:t>
      </w:r>
    </w:p>
    <w:p w14:paraId="3C027A29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└── README.md</w:t>
      </w:r>
    </w:p>
    <w:p w14:paraId="4A7682F3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8F64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10. Open items</w:t>
      </w:r>
    </w:p>
    <w:p w14:paraId="16EC5C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[ ] HECKTOR access application submitted and approved</w:t>
      </w:r>
    </w:p>
    <w:p w14:paraId="4DEC7A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[ ] Colab Pro active</w:t>
      </w:r>
    </w:p>
    <w:p w14:paraId="050D09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[ ] VIT Form B (IDF-B) — template obtained; </w:t>
      </w:r>
      <w:r>
        <w:rPr>
          <w:rStyle w:val="11"/>
          <w:rFonts w:hint="default" w:asciiTheme="minorAscii" w:hAnsiTheme="minorAscii"/>
        </w:rPr>
        <w:t>do not fill Section 8 until real results exist</w:t>
      </w:r>
    </w:p>
    <w:p w14:paraId="6CC107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[ ] Guide's view on thesis-vs-patent priority</w:t>
      </w:r>
    </w:p>
    <w:p w14:paraId="0D80BD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[ ] Prior art search on Google Patents / Espacenet / InPASS (CPC: G06T7/11, G06T7/174, G06N3/045, G16H30/40; assignees: Siemens Healthineers, Philips, GE Healthcare, Varian, RaySearch)</w:t>
      </w:r>
    </w:p>
    <w:p w14:paraId="68119C20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9289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11. Core references</w:t>
      </w:r>
    </w:p>
    <w:p w14:paraId="7A8FE482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Isensee et al., nnU-Net, Nature Methods 2021 · Joutard et al., HyperSpace, MICCAI 2024 · Oreiller et al., HECKTOR, Medical Image Analysis 2022 · Ha et al., HyperNetworks, ICLR 2017 · Perez et al., FiLM, AAAI 2018 · Hoopes et al., HyperMorph, IPMI 2021 · Sensoy et al., Evidential Deep Learning, NeurIPS 2018 · Guo et al., On Calibration, ICML 2017 · Kohl et al., Probabilistic U-Net, NeurIPS 2018 · ICRU Report 62</w:t>
      </w:r>
    </w:p>
    <w:p w14:paraId="61E7925A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56EA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12. Note on working style</w:t>
      </w:r>
    </w:p>
    <w:p w14:paraId="17FCDBC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project has already been damaged once by confident, unverified claims — a proposal built on a dataset that didn't contain the required modality, and novelty claims anticipated by a paper nobody had searched for. When answering questions about this project: verify dataset and prior art claims before asserting them, say when something is uncertain, and flag rather than paper over problems.</w:t>
      </w:r>
    </w:p>
    <w:p w14:paraId="4CC08AA2">
      <w:pPr>
        <w:rPr>
          <w:rFonts w:hint="default" w:asciiTheme="minorAscii" w:hAnsiTheme="minorAsci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AFA42B"/>
    <w:multiLevelType w:val="multilevel"/>
    <w:tmpl w:val="F7AFA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233B9F8"/>
    <w:multiLevelType w:val="multilevel"/>
    <w:tmpl w:val="1233B9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55B2A0C"/>
    <w:multiLevelType w:val="multilevel"/>
    <w:tmpl w:val="555B2A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E4BE284"/>
    <w:multiLevelType w:val="multilevel"/>
    <w:tmpl w:val="5E4BE2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EE498B0"/>
    <w:multiLevelType w:val="multilevel"/>
    <w:tmpl w:val="7EE49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516BD"/>
    <w:rsid w:val="6A85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2026-09-09T06:49:00Z</dcterms:created>
  <dc:creator>0561r</dc:creator>
  <cp:lastModifiedBy>0561r</cp:lastModifiedBy>
  <dcterms:modified xsi:type="dcterms:W3CDTF">2026-09-09T06:50:32Z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E1B18998BA764A968FE36DB7CAEE1B1E_11</vt:lpwstr>
  </property>
  <property fmtid="{D5CDD505-2E9C-101B-9397-08002B2CF9AE}" pid="4" name="KSOTemplateDocerSaveRecord">
    <vt:lpwstr>eyJoZGlkIjoiMTExZjBhNzE4ZGNiNzI2YmNkYWQ5Yzc2YTdkNWYzNDQifQ==</vt:lpwstr>
  </property>
</Properties>
</file>