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ACB3C" w14:textId="77777777" w:rsidR="00D74DC3" w:rsidRDefault="00000000">
      <w:pPr>
        <w:pStyle w:val="Heading1"/>
      </w:pPr>
      <w:bookmarkStart w:id="0" w:name="employee-sentiment-analysis-final-report"/>
      <w:r>
        <w:t>Employee Sentiment Analysis — Final Report</w:t>
      </w:r>
    </w:p>
    <w:p w14:paraId="66BA41FF" w14:textId="77777777" w:rsidR="000F5600" w:rsidRDefault="00000000">
      <w:pPr>
        <w:pStyle w:val="FirstParagraph"/>
      </w:pPr>
      <w:r>
        <w:rPr>
          <w:b/>
          <w:bCs/>
        </w:rPr>
        <w:t>Author:</w:t>
      </w:r>
      <w:r>
        <w:t xml:space="preserve"> Sudhanshu Kadam </w:t>
      </w:r>
    </w:p>
    <w:p w14:paraId="6D83B461" w14:textId="1460F596" w:rsidR="00D74DC3" w:rsidRDefault="00000000">
      <w:pPr>
        <w:pStyle w:val="FirstParagraph"/>
      </w:pPr>
      <w:r>
        <w:rPr>
          <w:b/>
          <w:bCs/>
        </w:rPr>
        <w:t>Dataset:</w:t>
      </w:r>
      <w:r>
        <w:t xml:space="preserve"> </w:t>
      </w:r>
      <w:r>
        <w:rPr>
          <w:rStyle w:val="VerbatimChar"/>
        </w:rPr>
        <w:t>test.csv</w:t>
      </w:r>
      <w:r>
        <w:t xml:space="preserve"> — 2,191 employee emails, 10 senders, January 2010 – December 2011</w:t>
      </w:r>
    </w:p>
    <w:p w14:paraId="70ABE98B" w14:textId="77777777" w:rsidR="00D74DC3" w:rsidRDefault="00000000">
      <w:r>
        <w:pict w14:anchorId="1C7F39C0">
          <v:rect id="_x0000_i1025" style="width:0;height:1.5pt" o:hralign="center" o:hrstd="t" o:hr="t"/>
        </w:pict>
      </w:r>
    </w:p>
    <w:p w14:paraId="0E2B6087" w14:textId="77777777" w:rsidR="00D74DC3" w:rsidRDefault="00000000">
      <w:pPr>
        <w:pStyle w:val="Heading2"/>
      </w:pPr>
      <w:bookmarkStart w:id="1" w:name="approach-and-methodology"/>
      <w:r>
        <w:t>1. Approach and Methodology</w:t>
      </w:r>
    </w:p>
    <w:p w14:paraId="3122C53B" w14:textId="77777777" w:rsidR="00D74DC3" w:rsidRDefault="00000000">
      <w:pPr>
        <w:pStyle w:val="FirstParagraph"/>
      </w:pPr>
      <w:r>
        <w:t xml:space="preserve">The objective was to take a raw, unlabeled corpus of workplace emails and turn it into actionable measures of employee sentiment and engagement. The work is split into six tasks, each implemented as a small, focused module under </w:t>
      </w:r>
      <w:r>
        <w:rPr>
          <w:rStyle w:val="VerbatimChar"/>
        </w:rPr>
        <w:t>src/</w:t>
      </w:r>
      <w:r>
        <w:t xml:space="preserve"> and orchestrated by a single notebook (</w:t>
      </w:r>
      <w:r>
        <w:rPr>
          <w:rStyle w:val="VerbatimChar"/>
        </w:rPr>
        <w:t>Employee_Sentiment_Analysis.ipynb</w:t>
      </w:r>
      <w:r>
        <w:t>) so the entire pipeline is reproducible from raw data to final outputs.</w:t>
      </w:r>
    </w:p>
    <w:p w14:paraId="1DF52607" w14:textId="77777777" w:rsidR="00D74DC3" w:rsidRDefault="00000000">
      <w:pPr>
        <w:pStyle w:val="BodyText"/>
      </w:pPr>
      <w:r>
        <w:rPr>
          <w:b/>
          <w:bCs/>
        </w:rPr>
        <w:t>Data.</w:t>
      </w:r>
      <w:r>
        <w:t xml:space="preserve"> The dataset has four columns — </w:t>
      </w:r>
      <w:r>
        <w:rPr>
          <w:rStyle w:val="VerbatimChar"/>
        </w:rPr>
        <w:t>Subject</w:t>
      </w:r>
      <w:r>
        <w:t xml:space="preserve">, </w:t>
      </w:r>
      <w:r>
        <w:rPr>
          <w:rStyle w:val="VerbatimChar"/>
        </w:rPr>
        <w:t>body</w:t>
      </w:r>
      <w:r>
        <w:t xml:space="preserve">, </w:t>
      </w:r>
      <w:r>
        <w:rPr>
          <w:rStyle w:val="VerbatimChar"/>
        </w:rPr>
        <w:t>date</w:t>
      </w:r>
      <w:r>
        <w:t xml:space="preserve">, </w:t>
      </w:r>
      <w:r>
        <w:rPr>
          <w:rStyle w:val="VerbatimChar"/>
        </w:rPr>
        <w:t>from</w:t>
      </w:r>
      <w:r>
        <w:t xml:space="preserve"> — with 2,191 rows, 10 unique senders, no missing values, and clean daily-resolution dates spanning 24 consecutive months.</w:t>
      </w:r>
    </w:p>
    <w:p w14:paraId="60C099DB" w14:textId="77777777" w:rsidR="00D74DC3" w:rsidRDefault="00000000">
      <w:pPr>
        <w:pStyle w:val="BodyText"/>
      </w:pPr>
      <w:r>
        <w:rPr>
          <w:b/>
          <w:bCs/>
        </w:rPr>
        <w:t>Sentiment labeling (Task 1).</w:t>
      </w:r>
      <w:r>
        <w:t xml:space="preserve"> Each message (Subject concatenated with body) is scored with </w:t>
      </w:r>
      <w:r>
        <w:rPr>
          <w:b/>
          <w:bCs/>
        </w:rPr>
        <w:t>TextBlob</w:t>
      </w:r>
      <w:r>
        <w:t xml:space="preserve">, whose pattern-based analyzer returns a polarity score in the range [-1.0, +1.0]. We map the sign of the polarity to a label: </w:t>
      </w:r>
      <w:r>
        <w:rPr>
          <w:rStyle w:val="VerbatimChar"/>
        </w:rPr>
        <w:t>&gt; 0</w:t>
      </w:r>
      <w:r>
        <w:t xml:space="preserve"> → Positive, </w:t>
      </w:r>
      <w:r>
        <w:rPr>
          <w:rStyle w:val="VerbatimChar"/>
        </w:rPr>
        <w:t>&lt; 0</w:t>
      </w:r>
      <w:r>
        <w:t xml:space="preserve"> → Negative, </w:t>
      </w:r>
      <w:r>
        <w:rPr>
          <w:rStyle w:val="VerbatimChar"/>
        </w:rPr>
        <w:t>== 0</w:t>
      </w:r>
      <w:r>
        <w:t xml:space="preserve"> → Neutral. TextBlob was chosen as the primary method because it is deterministic and runs entirely offline, which directly satisfies the assignment’s reproducibility requirement — a reviewer regenerates identical labels with no API keys or paid services. A </w:t>
      </w:r>
      <w:r>
        <w:rPr>
          <w:b/>
          <w:bCs/>
        </w:rPr>
        <w:t>preferred-LLM alternative</w:t>
      </w:r>
      <w:r>
        <w:t xml:space="preserve"> (Anthropic or OpenAI) is included in </w:t>
      </w:r>
      <w:r>
        <w:rPr>
          <w:rStyle w:val="VerbatimChar"/>
        </w:rPr>
        <w:t>src/sentiment_llm.py</w:t>
      </w:r>
      <w:r>
        <w:t xml:space="preserve"> and produces the same </w:t>
      </w:r>
      <w:r>
        <w:rPr>
          <w:rStyle w:val="VerbatimChar"/>
        </w:rPr>
        <w:t>sentiment</w:t>
      </w:r>
      <w:r>
        <w:t xml:space="preserve"> column; it is optional because LLM outputs are non-deterministic and incur cost, which would undermine exact reproducibility. The labeling criterion is fully documented and reproducible either way.</w:t>
      </w:r>
    </w:p>
    <w:p w14:paraId="57DB530E" w14:textId="77777777" w:rsidR="00D74DC3" w:rsidRDefault="00000000">
      <w:pPr>
        <w:pStyle w:val="BodyText"/>
      </w:pPr>
      <w:r>
        <w:rPr>
          <w:b/>
          <w:bCs/>
        </w:rPr>
        <w:t>Tooling.</w:t>
      </w:r>
      <w:r>
        <w:t xml:space="preserve"> Python, with pandas for data handling, TextBlob for labeling, matplotlib/seaborn for visualization, and scikit-learn for the regression model, in line with the brief’s guidance to use sklearn for AI modeling.</w:t>
      </w:r>
    </w:p>
    <w:p w14:paraId="140E1A87" w14:textId="77777777" w:rsidR="00D74DC3" w:rsidRDefault="00000000">
      <w:r>
        <w:pict w14:anchorId="57D74BE5">
          <v:rect id="_x0000_i1026" style="width:0;height:1.5pt" o:hralign="center" o:hrstd="t" o:hr="t"/>
        </w:pict>
      </w:r>
    </w:p>
    <w:p w14:paraId="7C1C69BB" w14:textId="77777777" w:rsidR="00D74DC3" w:rsidRDefault="00000000">
      <w:pPr>
        <w:pStyle w:val="Heading2"/>
      </w:pPr>
      <w:bookmarkStart w:id="2" w:name="key-findings-from-the-eda"/>
      <w:bookmarkEnd w:id="1"/>
      <w:r>
        <w:t>2. Key Findings from the EDA</w:t>
      </w:r>
    </w:p>
    <w:p w14:paraId="69113014" w14:textId="77777777" w:rsidR="00D74DC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Clean, well-structured data.</w:t>
      </w:r>
      <w:r>
        <w:t xml:space="preserve"> 2,191 complete records, 10 employees, zero missing values, 24 consecutive months.</w:t>
      </w:r>
    </w:p>
    <w:p w14:paraId="536E66ED" w14:textId="77777777" w:rsidR="00D74DC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Positive-leaning corpus.</w:t>
      </w:r>
      <w:r>
        <w:t xml:space="preserve"> Approximately </w:t>
      </w:r>
      <w:r>
        <w:rPr>
          <w:b/>
          <w:bCs/>
        </w:rPr>
        <w:t>61% Positive, 25% Neutral, 14% Negative</w:t>
      </w:r>
      <w:r>
        <w:t>. This is typical of routine corporate email and means negative messages — the minority class — carry the most diagnostic value.</w:t>
      </w:r>
    </w:p>
    <w:p w14:paraId="4D6F6F02" w14:textId="77777777" w:rsidR="00D74DC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Stable volume and sentiment over time.</w:t>
      </w:r>
      <w:r>
        <w:t xml:space="preserve"> Monthly message counts are fairly even, and net monthly sentiment stays positive across the whole period, with a persistent </w:t>
      </w:r>
      <w:r>
        <w:lastRenderedPageBreak/>
        <w:t>negative undercurrent. Because volume is steady, monthly scores are comparable across the series.</w:t>
      </w:r>
    </w:p>
    <w:p w14:paraId="4702828F" w14:textId="77777777" w:rsidR="00D74DC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Per-employee variation.</w:t>
      </w:r>
      <w:r>
        <w:t xml:space="preserve"> Employees differ in how much negative email they send, which is precisely the variation the flight-risk task is designed to surface.</w:t>
      </w:r>
    </w:p>
    <w:p w14:paraId="465771D4" w14:textId="77777777" w:rsidR="00D74DC3" w:rsidRDefault="00000000">
      <w:pPr>
        <w:pStyle w:val="FirstParagraph"/>
      </w:pPr>
      <w:r>
        <w:t xml:space="preserve">Supporting figures (in </w:t>
      </w:r>
      <w:r>
        <w:rPr>
          <w:rStyle w:val="VerbatimChar"/>
        </w:rPr>
        <w:t>visualization/</w:t>
      </w:r>
      <w:r>
        <w:t>): sentiment distribution, monthly volume, monthly sentiment composition, net monthly sentiment trend, messages per employee, sentiment by employee, and message-length distribution.</w:t>
      </w:r>
    </w:p>
    <w:p w14:paraId="23B6AF9A" w14:textId="77777777" w:rsidR="00D74DC3" w:rsidRDefault="00000000">
      <w:r>
        <w:pict w14:anchorId="79878587">
          <v:rect id="_x0000_i1027" style="width:0;height:1.5pt" o:hralign="center" o:hrstd="t" o:hr="t"/>
        </w:pict>
      </w:r>
    </w:p>
    <w:p w14:paraId="327B7BC4" w14:textId="77777777" w:rsidR="00D74DC3" w:rsidRDefault="00000000">
      <w:pPr>
        <w:pStyle w:val="Heading2"/>
      </w:pPr>
      <w:bookmarkStart w:id="3" w:name="employee-scoring-and-ranking"/>
      <w:bookmarkEnd w:id="2"/>
      <w:r>
        <w:t>3. Employee Scoring and Ranking</w:t>
      </w:r>
    </w:p>
    <w:p w14:paraId="4647D95B" w14:textId="77777777" w:rsidR="00D74DC3" w:rsidRDefault="00000000">
      <w:pPr>
        <w:pStyle w:val="FirstParagraph"/>
      </w:pPr>
      <w:r>
        <w:rPr>
          <w:b/>
          <w:bCs/>
        </w:rPr>
        <w:t>Scoring (Task 3).</w:t>
      </w:r>
      <w:r>
        <w:t xml:space="preserve"> Each message contributes </w:t>
      </w:r>
      <w:r>
        <w:rPr>
          <w:b/>
          <w:bCs/>
        </w:rPr>
        <w:t>+1 (Positive), −1 (Negative), 0 (Neutral)</w:t>
      </w:r>
      <w:r>
        <w:t xml:space="preserve">. Scores are summed per </w:t>
      </w:r>
      <w:r>
        <w:rPr>
          <w:rStyle w:val="VerbatimChar"/>
        </w:rPr>
        <w:t>(employee, calendar-month)</w:t>
      </w:r>
      <w:r>
        <w:t>. Grouping by month means each month’s score is computed independently — it resets at the start of every month by construction. This yields 240 rows (10 employees × 24 months), confirming every employee was active every month.</w:t>
      </w:r>
    </w:p>
    <w:p w14:paraId="4D6A5904" w14:textId="77777777" w:rsidR="00D74DC3" w:rsidRDefault="00000000">
      <w:pPr>
        <w:pStyle w:val="BodyText"/>
      </w:pPr>
      <w:r>
        <w:rPr>
          <w:b/>
          <w:bCs/>
        </w:rPr>
        <w:t>Ranking (Task 4).</w:t>
      </w:r>
      <w:r>
        <w:t xml:space="preserve"> For each month we produce the top-3 positive employees (highest scores) and top-3 negative employees (lowest scores). The sort key is score first, then employee name alphabetically as a tiebreaker — descending for the positive list and ascending for the negative list.</w:t>
      </w:r>
    </w:p>
    <w:p w14:paraId="03E5C9F2" w14:textId="77777777" w:rsidR="00D74DC3" w:rsidRDefault="00000000">
      <w:pPr>
        <w:pStyle w:val="BodyText"/>
      </w:pPr>
      <w:r>
        <w:rPr>
          <w:b/>
          <w:bCs/>
        </w:rPr>
        <w:t>Overall leaderboard</w:t>
      </w:r>
      <w:r>
        <w:t xml:space="preserve"> (summed across all 24 months):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43"/>
        <w:gridCol w:w="3185"/>
        <w:gridCol w:w="1371"/>
      </w:tblGrid>
      <w:tr w:rsidR="00D74DC3" w14:paraId="0B358333" w14:textId="77777777" w:rsidTr="00D74D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80F413" w14:textId="77777777" w:rsidR="00D74DC3" w:rsidRDefault="00000000">
            <w:pPr>
              <w:pStyle w:val="Compact"/>
            </w:pPr>
            <w:r>
              <w:t>Rank</w:t>
            </w:r>
          </w:p>
        </w:tc>
        <w:tc>
          <w:tcPr>
            <w:tcW w:w="0" w:type="auto"/>
          </w:tcPr>
          <w:p w14:paraId="6B20485A" w14:textId="77777777" w:rsidR="00D74DC3" w:rsidRDefault="00000000">
            <w:pPr>
              <w:pStyle w:val="Compact"/>
            </w:pPr>
            <w:r>
              <w:t>Employee</w:t>
            </w:r>
          </w:p>
        </w:tc>
        <w:tc>
          <w:tcPr>
            <w:tcW w:w="0" w:type="auto"/>
          </w:tcPr>
          <w:p w14:paraId="5084A186" w14:textId="77777777" w:rsidR="00D74DC3" w:rsidRDefault="00000000">
            <w:pPr>
              <w:pStyle w:val="Compact"/>
            </w:pPr>
            <w:r>
              <w:t>Total Score</w:t>
            </w:r>
          </w:p>
        </w:tc>
      </w:tr>
      <w:tr w:rsidR="00D74DC3" w14:paraId="1EDD71E3" w14:textId="77777777">
        <w:tc>
          <w:tcPr>
            <w:tcW w:w="0" w:type="auto"/>
          </w:tcPr>
          <w:p w14:paraId="1EF6F620" w14:textId="77777777" w:rsidR="00D74DC3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34CDEC1" w14:textId="77777777" w:rsidR="00D74DC3" w:rsidRDefault="00000000">
            <w:pPr>
              <w:pStyle w:val="Compact"/>
            </w:pPr>
            <w:r>
              <w:t>john.arnold@enron.com</w:t>
            </w:r>
          </w:p>
        </w:tc>
        <w:tc>
          <w:tcPr>
            <w:tcW w:w="0" w:type="auto"/>
          </w:tcPr>
          <w:p w14:paraId="370A3D46" w14:textId="77777777" w:rsidR="00D74DC3" w:rsidRDefault="00000000">
            <w:pPr>
              <w:pStyle w:val="Compact"/>
            </w:pPr>
            <w:r>
              <w:t>125</w:t>
            </w:r>
          </w:p>
        </w:tc>
      </w:tr>
      <w:tr w:rsidR="00D74DC3" w14:paraId="10C87183" w14:textId="77777777">
        <w:tc>
          <w:tcPr>
            <w:tcW w:w="0" w:type="auto"/>
          </w:tcPr>
          <w:p w14:paraId="3066D893" w14:textId="77777777" w:rsidR="00D74DC3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48F4156" w14:textId="77777777" w:rsidR="00D74DC3" w:rsidRDefault="00000000">
            <w:pPr>
              <w:pStyle w:val="Compact"/>
            </w:pPr>
            <w:r>
              <w:t>lydia.delgado@enron.com</w:t>
            </w:r>
          </w:p>
        </w:tc>
        <w:tc>
          <w:tcPr>
            <w:tcW w:w="0" w:type="auto"/>
          </w:tcPr>
          <w:p w14:paraId="36CA7A73" w14:textId="77777777" w:rsidR="00D74DC3" w:rsidRDefault="00000000">
            <w:pPr>
              <w:pStyle w:val="Compact"/>
            </w:pPr>
            <w:r>
              <w:t>125</w:t>
            </w:r>
          </w:p>
        </w:tc>
      </w:tr>
      <w:tr w:rsidR="00D74DC3" w14:paraId="73536544" w14:textId="77777777">
        <w:tc>
          <w:tcPr>
            <w:tcW w:w="0" w:type="auto"/>
          </w:tcPr>
          <w:p w14:paraId="74B758FF" w14:textId="77777777" w:rsidR="00D74DC3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8DE277F" w14:textId="77777777" w:rsidR="00D74DC3" w:rsidRDefault="00000000">
            <w:pPr>
              <w:pStyle w:val="Compact"/>
            </w:pPr>
            <w:r>
              <w:t>sally.beck@enron.com</w:t>
            </w:r>
          </w:p>
        </w:tc>
        <w:tc>
          <w:tcPr>
            <w:tcW w:w="0" w:type="auto"/>
          </w:tcPr>
          <w:p w14:paraId="3D9E0C87" w14:textId="77777777" w:rsidR="00D74DC3" w:rsidRDefault="00000000">
            <w:pPr>
              <w:pStyle w:val="Compact"/>
            </w:pPr>
            <w:r>
              <w:t>109</w:t>
            </w:r>
          </w:p>
        </w:tc>
      </w:tr>
      <w:tr w:rsidR="00D74DC3" w14:paraId="020268E8" w14:textId="77777777">
        <w:tc>
          <w:tcPr>
            <w:tcW w:w="0" w:type="auto"/>
          </w:tcPr>
          <w:p w14:paraId="6160D3D1" w14:textId="77777777" w:rsidR="00D74DC3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AAAEB57" w14:textId="77777777" w:rsidR="00D74DC3" w:rsidRDefault="00000000">
            <w:pPr>
              <w:pStyle w:val="Compact"/>
            </w:pPr>
            <w:r>
              <w:t>johnny.palmer@enron.com</w:t>
            </w:r>
          </w:p>
        </w:tc>
        <w:tc>
          <w:tcPr>
            <w:tcW w:w="0" w:type="auto"/>
          </w:tcPr>
          <w:p w14:paraId="6A135074" w14:textId="77777777" w:rsidR="00D74DC3" w:rsidRDefault="00000000">
            <w:pPr>
              <w:pStyle w:val="Compact"/>
            </w:pPr>
            <w:r>
              <w:t>105</w:t>
            </w:r>
          </w:p>
        </w:tc>
      </w:tr>
      <w:tr w:rsidR="00D74DC3" w14:paraId="379D886C" w14:textId="77777777">
        <w:tc>
          <w:tcPr>
            <w:tcW w:w="0" w:type="auto"/>
          </w:tcPr>
          <w:p w14:paraId="317F3BF0" w14:textId="77777777" w:rsidR="00D74DC3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92B2DBE" w14:textId="77777777" w:rsidR="00D74DC3" w:rsidRDefault="00000000">
            <w:pPr>
              <w:pStyle w:val="Compact"/>
            </w:pPr>
            <w:r>
              <w:t>patti.thompson@enron.com</w:t>
            </w:r>
          </w:p>
        </w:tc>
        <w:tc>
          <w:tcPr>
            <w:tcW w:w="0" w:type="auto"/>
          </w:tcPr>
          <w:p w14:paraId="0886D4C7" w14:textId="77777777" w:rsidR="00D74DC3" w:rsidRDefault="00000000">
            <w:pPr>
              <w:pStyle w:val="Compact"/>
            </w:pPr>
            <w:r>
              <w:t>102</w:t>
            </w:r>
          </w:p>
        </w:tc>
      </w:tr>
      <w:tr w:rsidR="00D74DC3" w14:paraId="0630E6E4" w14:textId="77777777">
        <w:tc>
          <w:tcPr>
            <w:tcW w:w="0" w:type="auto"/>
          </w:tcPr>
          <w:p w14:paraId="31875E91" w14:textId="77777777" w:rsidR="00D74DC3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3143B785" w14:textId="77777777" w:rsidR="00D74DC3" w:rsidRDefault="00000000">
            <w:pPr>
              <w:pStyle w:val="Compact"/>
            </w:pPr>
            <w:r>
              <w:t>bobette.riner@ipgdirect.com</w:t>
            </w:r>
          </w:p>
        </w:tc>
        <w:tc>
          <w:tcPr>
            <w:tcW w:w="0" w:type="auto"/>
          </w:tcPr>
          <w:p w14:paraId="0DE430CD" w14:textId="77777777" w:rsidR="00D74DC3" w:rsidRDefault="00000000">
            <w:pPr>
              <w:pStyle w:val="Compact"/>
            </w:pPr>
            <w:r>
              <w:t>100</w:t>
            </w:r>
          </w:p>
        </w:tc>
      </w:tr>
      <w:tr w:rsidR="00D74DC3" w14:paraId="5E5178F5" w14:textId="77777777">
        <w:tc>
          <w:tcPr>
            <w:tcW w:w="0" w:type="auto"/>
          </w:tcPr>
          <w:p w14:paraId="1D167812" w14:textId="77777777" w:rsidR="00D74DC3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020909B5" w14:textId="77777777" w:rsidR="00D74DC3" w:rsidRDefault="00000000">
            <w:pPr>
              <w:pStyle w:val="Compact"/>
            </w:pPr>
            <w:r>
              <w:t>don.baughman@enron.com</w:t>
            </w:r>
          </w:p>
        </w:tc>
        <w:tc>
          <w:tcPr>
            <w:tcW w:w="0" w:type="auto"/>
          </w:tcPr>
          <w:p w14:paraId="2FC61CF4" w14:textId="77777777" w:rsidR="00D74DC3" w:rsidRDefault="00000000">
            <w:pPr>
              <w:pStyle w:val="Compact"/>
            </w:pPr>
            <w:r>
              <w:t>97</w:t>
            </w:r>
          </w:p>
        </w:tc>
      </w:tr>
      <w:tr w:rsidR="00D74DC3" w14:paraId="4A5A1CB9" w14:textId="77777777">
        <w:tc>
          <w:tcPr>
            <w:tcW w:w="0" w:type="auto"/>
          </w:tcPr>
          <w:p w14:paraId="769A484F" w14:textId="77777777" w:rsidR="00D74DC3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17D501D4" w14:textId="77777777" w:rsidR="00D74DC3" w:rsidRDefault="00000000">
            <w:pPr>
              <w:pStyle w:val="Compact"/>
            </w:pPr>
            <w:r>
              <w:t>eric.bass@enron.com</w:t>
            </w:r>
          </w:p>
        </w:tc>
        <w:tc>
          <w:tcPr>
            <w:tcW w:w="0" w:type="auto"/>
          </w:tcPr>
          <w:p w14:paraId="61B3D0B2" w14:textId="77777777" w:rsidR="00D74DC3" w:rsidRDefault="00000000">
            <w:pPr>
              <w:pStyle w:val="Compact"/>
            </w:pPr>
            <w:r>
              <w:t>97</w:t>
            </w:r>
          </w:p>
        </w:tc>
      </w:tr>
      <w:tr w:rsidR="00D74DC3" w14:paraId="61B468A4" w14:textId="77777777">
        <w:tc>
          <w:tcPr>
            <w:tcW w:w="0" w:type="auto"/>
          </w:tcPr>
          <w:p w14:paraId="7E0CB9CC" w14:textId="77777777" w:rsidR="00D74DC3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4940CA15" w14:textId="77777777" w:rsidR="00D74DC3" w:rsidRDefault="00000000">
            <w:pPr>
              <w:pStyle w:val="Compact"/>
            </w:pPr>
            <w:r>
              <w:t>kayne.coulter@enron.com</w:t>
            </w:r>
          </w:p>
        </w:tc>
        <w:tc>
          <w:tcPr>
            <w:tcW w:w="0" w:type="auto"/>
          </w:tcPr>
          <w:p w14:paraId="559574F3" w14:textId="77777777" w:rsidR="00D74DC3" w:rsidRDefault="00000000">
            <w:pPr>
              <w:pStyle w:val="Compact"/>
            </w:pPr>
            <w:r>
              <w:t>89</w:t>
            </w:r>
          </w:p>
        </w:tc>
      </w:tr>
      <w:tr w:rsidR="00D74DC3" w14:paraId="0BA744C7" w14:textId="77777777">
        <w:tc>
          <w:tcPr>
            <w:tcW w:w="0" w:type="auto"/>
          </w:tcPr>
          <w:p w14:paraId="611F37AA" w14:textId="77777777" w:rsidR="00D74DC3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05A757AB" w14:textId="77777777" w:rsidR="00D74DC3" w:rsidRDefault="00000000">
            <w:pPr>
              <w:pStyle w:val="Compact"/>
            </w:pPr>
            <w:r>
              <w:t>rhonda.denton@enron.com</w:t>
            </w:r>
          </w:p>
        </w:tc>
        <w:tc>
          <w:tcPr>
            <w:tcW w:w="0" w:type="auto"/>
          </w:tcPr>
          <w:p w14:paraId="7FDAE59A" w14:textId="77777777" w:rsidR="00D74DC3" w:rsidRDefault="00000000">
            <w:pPr>
              <w:pStyle w:val="Compact"/>
            </w:pPr>
            <w:r>
              <w:t>61</w:t>
            </w:r>
          </w:p>
        </w:tc>
      </w:tr>
    </w:tbl>
    <w:p w14:paraId="2B063546" w14:textId="77777777" w:rsidR="00D74DC3" w:rsidRDefault="00000000">
      <w:pPr>
        <w:pStyle w:val="BodyText"/>
      </w:pPr>
      <w:r>
        <w:rPr>
          <w:b/>
          <w:bCs/>
        </w:rPr>
        <w:t>Top 3 positive (overall):</w:t>
      </w:r>
      <w:r>
        <w:t xml:space="preserve"> john.arnold, lydia.delgado, sally.beck. </w:t>
      </w:r>
      <w:r>
        <w:rPr>
          <w:b/>
          <w:bCs/>
        </w:rPr>
        <w:t>Top 3 negative (overall):</w:t>
      </w:r>
      <w:r>
        <w:t xml:space="preserve"> rhonda.denton, kayne.coulter, don.baughman.</w:t>
      </w:r>
    </w:p>
    <w:p w14:paraId="28369400" w14:textId="77777777" w:rsidR="00D74DC3" w:rsidRDefault="00000000">
      <w:pPr>
        <w:pStyle w:val="BodyText"/>
      </w:pPr>
      <w:r>
        <w:t xml:space="preserve">Per-month winners rotate (full lists in </w:t>
      </w:r>
      <w:r>
        <w:rPr>
          <w:rStyle w:val="VerbatimChar"/>
        </w:rPr>
        <w:t>outputs/</w:t>
      </w:r>
      <w:r>
        <w:t xml:space="preserve">), but the overall ordering is stable. Importantly, every employee’s total is net-positive, so a low rank reflects </w:t>
      </w:r>
      <w:r>
        <w:rPr>
          <w:i/>
          <w:iCs/>
        </w:rPr>
        <w:t>relatively</w:t>
      </w:r>
      <w:r>
        <w:t xml:space="preserve"> less positive email rather than an outright negative profile.</w:t>
      </w:r>
    </w:p>
    <w:p w14:paraId="50D8881C" w14:textId="77777777" w:rsidR="00D74DC3" w:rsidRDefault="00000000">
      <w:r>
        <w:pict w14:anchorId="5F1A771D">
          <v:rect id="_x0000_i1028" style="width:0;height:1.5pt" o:hralign="center" o:hrstd="t" o:hr="t"/>
        </w:pict>
      </w:r>
    </w:p>
    <w:p w14:paraId="1DEA7849" w14:textId="77777777" w:rsidR="00D74DC3" w:rsidRDefault="00000000">
      <w:pPr>
        <w:pStyle w:val="Heading2"/>
      </w:pPr>
      <w:bookmarkStart w:id="4" w:name="flight-risk-identification"/>
      <w:bookmarkEnd w:id="3"/>
      <w:r>
        <w:lastRenderedPageBreak/>
        <w:t>4. Flight Risk Identification</w:t>
      </w:r>
    </w:p>
    <w:p w14:paraId="47154164" w14:textId="77777777" w:rsidR="00D74DC3" w:rsidRDefault="00000000">
      <w:pPr>
        <w:pStyle w:val="FirstParagraph"/>
      </w:pPr>
      <w:r>
        <w:rPr>
          <w:b/>
          <w:bCs/>
        </w:rPr>
        <w:t>Criterion (Task 5).</w:t>
      </w:r>
      <w:r>
        <w:t xml:space="preserve"> A flight risk is any employee who sent </w:t>
      </w:r>
      <w:r>
        <w:rPr>
          <w:b/>
          <w:bCs/>
        </w:rPr>
        <w:t>four or more negative emails within a rolling 30-day window</w:t>
      </w:r>
      <w:r>
        <w:t>, independent of calendar-month boundaries and independent of their sentiment score. The detection slides a 30-day window over each employee’s chronologically sorted negative-email dates; an employee is flagged the first time four negatives fall inside one window. The implementation records the first triggering window (</w:t>
      </w:r>
      <w:r>
        <w:rPr>
          <w:rStyle w:val="VerbatimChar"/>
        </w:rPr>
        <w:t>window_start</w:t>
      </w:r>
      <w:r>
        <w:t xml:space="preserve">, </w:t>
      </w:r>
      <w:r>
        <w:rPr>
          <w:rStyle w:val="VerbatimChar"/>
        </w:rPr>
        <w:t>window_end</w:t>
      </w:r>
      <w:r>
        <w:t>) for auditability.</w:t>
      </w:r>
    </w:p>
    <w:p w14:paraId="157A6E00" w14:textId="77777777" w:rsidR="00D74DC3" w:rsidRDefault="00000000">
      <w:pPr>
        <w:pStyle w:val="BodyText"/>
      </w:pPr>
      <w:r>
        <w:rPr>
          <w:b/>
          <w:bCs/>
        </w:rPr>
        <w:t>Outcome.</w:t>
      </w:r>
      <w:r>
        <w:t xml:space="preserve"> All ten employees are flagged at least once: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85"/>
        <w:gridCol w:w="2397"/>
        <w:gridCol w:w="2968"/>
      </w:tblGrid>
      <w:tr w:rsidR="00D74DC3" w14:paraId="27289558" w14:textId="77777777" w:rsidTr="00D74D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DAB338" w14:textId="77777777" w:rsidR="00D74DC3" w:rsidRDefault="00000000">
            <w:pPr>
              <w:pStyle w:val="Compact"/>
            </w:pPr>
            <w:r>
              <w:t>Employee</w:t>
            </w:r>
          </w:p>
        </w:tc>
        <w:tc>
          <w:tcPr>
            <w:tcW w:w="0" w:type="auto"/>
          </w:tcPr>
          <w:p w14:paraId="251A2E2F" w14:textId="77777777" w:rsidR="00D74DC3" w:rsidRDefault="00000000">
            <w:pPr>
              <w:pStyle w:val="Compact"/>
              <w:jc w:val="right"/>
            </w:pPr>
            <w:r>
              <w:t>Total negative emails</w:t>
            </w:r>
          </w:p>
        </w:tc>
        <w:tc>
          <w:tcPr>
            <w:tcW w:w="0" w:type="auto"/>
          </w:tcPr>
          <w:p w14:paraId="786A7572" w14:textId="77777777" w:rsidR="00D74DC3" w:rsidRDefault="00000000">
            <w:pPr>
              <w:pStyle w:val="Compact"/>
            </w:pPr>
            <w:r>
              <w:t>First triggering window</w:t>
            </w:r>
          </w:p>
        </w:tc>
      </w:tr>
      <w:tr w:rsidR="00D74DC3" w14:paraId="75BB2AD2" w14:textId="77777777">
        <w:tc>
          <w:tcPr>
            <w:tcW w:w="0" w:type="auto"/>
          </w:tcPr>
          <w:p w14:paraId="5AF61F6B" w14:textId="77777777" w:rsidR="00D74DC3" w:rsidRDefault="00000000">
            <w:pPr>
              <w:pStyle w:val="Compact"/>
            </w:pPr>
            <w:r>
              <w:t>bobette.riner@ipgdirect.com</w:t>
            </w:r>
          </w:p>
        </w:tc>
        <w:tc>
          <w:tcPr>
            <w:tcW w:w="0" w:type="auto"/>
          </w:tcPr>
          <w:p w14:paraId="2F202C88" w14:textId="77777777" w:rsidR="00D74DC3" w:rsidRDefault="00000000">
            <w:pPr>
              <w:pStyle w:val="Compact"/>
              <w:jc w:val="right"/>
            </w:pPr>
            <w:r>
              <w:t>32</w:t>
            </w:r>
          </w:p>
        </w:tc>
        <w:tc>
          <w:tcPr>
            <w:tcW w:w="0" w:type="auto"/>
          </w:tcPr>
          <w:p w14:paraId="00591D06" w14:textId="77777777" w:rsidR="00D74DC3" w:rsidRDefault="00000000">
            <w:pPr>
              <w:pStyle w:val="Compact"/>
            </w:pPr>
            <w:r>
              <w:t>2010-10-21 → 2010-11-10</w:t>
            </w:r>
          </w:p>
        </w:tc>
      </w:tr>
      <w:tr w:rsidR="00D74DC3" w14:paraId="679EB9F8" w14:textId="77777777">
        <w:tc>
          <w:tcPr>
            <w:tcW w:w="0" w:type="auto"/>
          </w:tcPr>
          <w:p w14:paraId="2866AA9C" w14:textId="77777777" w:rsidR="00D74DC3" w:rsidRDefault="00000000">
            <w:pPr>
              <w:pStyle w:val="Compact"/>
            </w:pPr>
            <w:r>
              <w:t>don.baughman@enron.com</w:t>
            </w:r>
          </w:p>
        </w:tc>
        <w:tc>
          <w:tcPr>
            <w:tcW w:w="0" w:type="auto"/>
          </w:tcPr>
          <w:p w14:paraId="05ABEF54" w14:textId="77777777" w:rsidR="00D74DC3" w:rsidRDefault="00000000">
            <w:pPr>
              <w:pStyle w:val="Compact"/>
              <w:jc w:val="right"/>
            </w:pPr>
            <w:r>
              <w:t>25</w:t>
            </w:r>
          </w:p>
        </w:tc>
        <w:tc>
          <w:tcPr>
            <w:tcW w:w="0" w:type="auto"/>
          </w:tcPr>
          <w:p w14:paraId="30091606" w14:textId="77777777" w:rsidR="00D74DC3" w:rsidRDefault="00000000">
            <w:pPr>
              <w:pStyle w:val="Compact"/>
            </w:pPr>
            <w:r>
              <w:t>2010-02-13 → 2010-03-07</w:t>
            </w:r>
          </w:p>
        </w:tc>
      </w:tr>
      <w:tr w:rsidR="00D74DC3" w14:paraId="6C940600" w14:textId="77777777">
        <w:tc>
          <w:tcPr>
            <w:tcW w:w="0" w:type="auto"/>
          </w:tcPr>
          <w:p w14:paraId="4F515E79" w14:textId="77777777" w:rsidR="00D74DC3" w:rsidRDefault="00000000">
            <w:pPr>
              <w:pStyle w:val="Compact"/>
            </w:pPr>
            <w:r>
              <w:t>eric.bass@enron.com</w:t>
            </w:r>
          </w:p>
        </w:tc>
        <w:tc>
          <w:tcPr>
            <w:tcW w:w="0" w:type="auto"/>
          </w:tcPr>
          <w:p w14:paraId="7FA219B3" w14:textId="77777777" w:rsidR="00D74DC3" w:rsidRDefault="00000000">
            <w:pPr>
              <w:pStyle w:val="Compact"/>
              <w:jc w:val="right"/>
            </w:pPr>
            <w:r>
              <w:t>34</w:t>
            </w:r>
          </w:p>
        </w:tc>
        <w:tc>
          <w:tcPr>
            <w:tcW w:w="0" w:type="auto"/>
          </w:tcPr>
          <w:p w14:paraId="08C0EEC1" w14:textId="77777777" w:rsidR="00D74DC3" w:rsidRDefault="00000000">
            <w:pPr>
              <w:pStyle w:val="Compact"/>
            </w:pPr>
            <w:r>
              <w:t>2010-03-19 → 2010-04-15</w:t>
            </w:r>
          </w:p>
        </w:tc>
      </w:tr>
      <w:tr w:rsidR="00D74DC3" w14:paraId="7A278701" w14:textId="77777777">
        <w:tc>
          <w:tcPr>
            <w:tcW w:w="0" w:type="auto"/>
          </w:tcPr>
          <w:p w14:paraId="05B72E6E" w14:textId="77777777" w:rsidR="00D74DC3" w:rsidRDefault="00000000">
            <w:pPr>
              <w:pStyle w:val="Compact"/>
            </w:pPr>
            <w:r>
              <w:t>john.arnold@enron.com</w:t>
            </w:r>
          </w:p>
        </w:tc>
        <w:tc>
          <w:tcPr>
            <w:tcW w:w="0" w:type="auto"/>
          </w:tcPr>
          <w:p w14:paraId="5F7CF253" w14:textId="77777777" w:rsidR="00D74DC3" w:rsidRDefault="00000000">
            <w:pPr>
              <w:pStyle w:val="Compact"/>
              <w:jc w:val="right"/>
            </w:pPr>
            <w:r>
              <w:t>31</w:t>
            </w:r>
          </w:p>
        </w:tc>
        <w:tc>
          <w:tcPr>
            <w:tcW w:w="0" w:type="auto"/>
          </w:tcPr>
          <w:p w14:paraId="5769351D" w14:textId="77777777" w:rsidR="00D74DC3" w:rsidRDefault="00000000">
            <w:pPr>
              <w:pStyle w:val="Compact"/>
            </w:pPr>
            <w:r>
              <w:t>2010-02-26 → 2010-03-26</w:t>
            </w:r>
          </w:p>
        </w:tc>
      </w:tr>
      <w:tr w:rsidR="00D74DC3" w14:paraId="1E918AC1" w14:textId="77777777">
        <w:tc>
          <w:tcPr>
            <w:tcW w:w="0" w:type="auto"/>
          </w:tcPr>
          <w:p w14:paraId="597319AA" w14:textId="77777777" w:rsidR="00D74DC3" w:rsidRDefault="00000000">
            <w:pPr>
              <w:pStyle w:val="Compact"/>
            </w:pPr>
            <w:r>
              <w:t>johnny.palmer@enron.com</w:t>
            </w:r>
          </w:p>
        </w:tc>
        <w:tc>
          <w:tcPr>
            <w:tcW w:w="0" w:type="auto"/>
          </w:tcPr>
          <w:p w14:paraId="2FAC629B" w14:textId="77777777" w:rsidR="00D74DC3" w:rsidRDefault="00000000">
            <w:pPr>
              <w:pStyle w:val="Compact"/>
              <w:jc w:val="right"/>
            </w:pPr>
            <w:r>
              <w:t>31</w:t>
            </w:r>
          </w:p>
        </w:tc>
        <w:tc>
          <w:tcPr>
            <w:tcW w:w="0" w:type="auto"/>
          </w:tcPr>
          <w:p w14:paraId="034F919B" w14:textId="77777777" w:rsidR="00D74DC3" w:rsidRDefault="00000000">
            <w:pPr>
              <w:pStyle w:val="Compact"/>
            </w:pPr>
            <w:r>
              <w:t>2010-02-06 → 2010-02-25</w:t>
            </w:r>
          </w:p>
        </w:tc>
      </w:tr>
      <w:tr w:rsidR="00D74DC3" w14:paraId="74177F43" w14:textId="77777777">
        <w:tc>
          <w:tcPr>
            <w:tcW w:w="0" w:type="auto"/>
          </w:tcPr>
          <w:p w14:paraId="5084BE5E" w14:textId="77777777" w:rsidR="00D74DC3" w:rsidRDefault="00000000">
            <w:pPr>
              <w:pStyle w:val="Compact"/>
            </w:pPr>
            <w:r>
              <w:t>kayne.coulter@enron.com</w:t>
            </w:r>
          </w:p>
        </w:tc>
        <w:tc>
          <w:tcPr>
            <w:tcW w:w="0" w:type="auto"/>
          </w:tcPr>
          <w:p w14:paraId="0F880C18" w14:textId="77777777" w:rsidR="00D74DC3" w:rsidRDefault="00000000">
            <w:pPr>
              <w:pStyle w:val="Compact"/>
              <w:jc w:val="right"/>
            </w:pPr>
            <w:r>
              <w:t>24</w:t>
            </w:r>
          </w:p>
        </w:tc>
        <w:tc>
          <w:tcPr>
            <w:tcW w:w="0" w:type="auto"/>
          </w:tcPr>
          <w:p w14:paraId="7144B66E" w14:textId="77777777" w:rsidR="00D74DC3" w:rsidRDefault="00000000">
            <w:pPr>
              <w:pStyle w:val="Compact"/>
            </w:pPr>
            <w:r>
              <w:t>2011-11-26 → 2011-12-26</w:t>
            </w:r>
          </w:p>
        </w:tc>
      </w:tr>
      <w:tr w:rsidR="00D74DC3" w14:paraId="53987568" w14:textId="77777777">
        <w:tc>
          <w:tcPr>
            <w:tcW w:w="0" w:type="auto"/>
          </w:tcPr>
          <w:p w14:paraId="447A1D5C" w14:textId="77777777" w:rsidR="00D74DC3" w:rsidRDefault="00000000">
            <w:pPr>
              <w:pStyle w:val="Compact"/>
            </w:pPr>
            <w:r>
              <w:t>lydia.delgado@enron.com</w:t>
            </w:r>
          </w:p>
        </w:tc>
        <w:tc>
          <w:tcPr>
            <w:tcW w:w="0" w:type="auto"/>
          </w:tcPr>
          <w:p w14:paraId="1BC51B2E" w14:textId="77777777" w:rsidR="00D74DC3" w:rsidRDefault="00000000">
            <w:pPr>
              <w:pStyle w:val="Compact"/>
              <w:jc w:val="right"/>
            </w:pPr>
            <w:r>
              <w:t>42</w:t>
            </w:r>
          </w:p>
        </w:tc>
        <w:tc>
          <w:tcPr>
            <w:tcW w:w="0" w:type="auto"/>
          </w:tcPr>
          <w:p w14:paraId="73B0757F" w14:textId="77777777" w:rsidR="00D74DC3" w:rsidRDefault="00000000">
            <w:pPr>
              <w:pStyle w:val="Compact"/>
            </w:pPr>
            <w:r>
              <w:t>2010-06-17 → 2010-06-24</w:t>
            </w:r>
          </w:p>
        </w:tc>
      </w:tr>
      <w:tr w:rsidR="00D74DC3" w14:paraId="5DAAF7C6" w14:textId="77777777">
        <w:tc>
          <w:tcPr>
            <w:tcW w:w="0" w:type="auto"/>
          </w:tcPr>
          <w:p w14:paraId="1ADD02C1" w14:textId="77777777" w:rsidR="00D74DC3" w:rsidRDefault="00000000">
            <w:pPr>
              <w:pStyle w:val="Compact"/>
            </w:pPr>
            <w:r>
              <w:t>patti.thompson@enron.com</w:t>
            </w:r>
          </w:p>
        </w:tc>
        <w:tc>
          <w:tcPr>
            <w:tcW w:w="0" w:type="auto"/>
          </w:tcPr>
          <w:p w14:paraId="2BBF7623" w14:textId="77777777" w:rsidR="00D74DC3" w:rsidRDefault="00000000">
            <w:pPr>
              <w:pStyle w:val="Compact"/>
              <w:jc w:val="right"/>
            </w:pPr>
            <w:r>
              <w:t>34</w:t>
            </w:r>
          </w:p>
        </w:tc>
        <w:tc>
          <w:tcPr>
            <w:tcW w:w="0" w:type="auto"/>
          </w:tcPr>
          <w:p w14:paraId="6B23F640" w14:textId="77777777" w:rsidR="00D74DC3" w:rsidRDefault="00000000">
            <w:pPr>
              <w:pStyle w:val="Compact"/>
            </w:pPr>
            <w:r>
              <w:t>2010-04-05 → 2010-05-02</w:t>
            </w:r>
          </w:p>
        </w:tc>
      </w:tr>
      <w:tr w:rsidR="00D74DC3" w14:paraId="7E3B2A3F" w14:textId="77777777">
        <w:tc>
          <w:tcPr>
            <w:tcW w:w="0" w:type="auto"/>
          </w:tcPr>
          <w:p w14:paraId="02F050F5" w14:textId="77777777" w:rsidR="00D74DC3" w:rsidRDefault="00000000">
            <w:pPr>
              <w:pStyle w:val="Compact"/>
            </w:pPr>
            <w:r>
              <w:t>rhonda.denton@enron.com</w:t>
            </w:r>
          </w:p>
        </w:tc>
        <w:tc>
          <w:tcPr>
            <w:tcW w:w="0" w:type="auto"/>
          </w:tcPr>
          <w:p w14:paraId="585E7B4D" w14:textId="77777777" w:rsidR="00D74DC3" w:rsidRDefault="00000000">
            <w:pPr>
              <w:pStyle w:val="Compact"/>
              <w:jc w:val="right"/>
            </w:pPr>
            <w:r>
              <w:t>32</w:t>
            </w:r>
          </w:p>
        </w:tc>
        <w:tc>
          <w:tcPr>
            <w:tcW w:w="0" w:type="auto"/>
          </w:tcPr>
          <w:p w14:paraId="3BAD30F0" w14:textId="77777777" w:rsidR="00D74DC3" w:rsidRDefault="00000000">
            <w:pPr>
              <w:pStyle w:val="Compact"/>
            </w:pPr>
            <w:r>
              <w:t>2010-08-10 → 2010-08-28</w:t>
            </w:r>
          </w:p>
        </w:tc>
      </w:tr>
      <w:tr w:rsidR="00D74DC3" w14:paraId="4FCB4A05" w14:textId="77777777">
        <w:tc>
          <w:tcPr>
            <w:tcW w:w="0" w:type="auto"/>
          </w:tcPr>
          <w:p w14:paraId="3ED0A288" w14:textId="77777777" w:rsidR="00D74DC3" w:rsidRDefault="00000000">
            <w:pPr>
              <w:pStyle w:val="Compact"/>
            </w:pPr>
            <w:r>
              <w:t>sally.beck@enron.com</w:t>
            </w:r>
          </w:p>
        </w:tc>
        <w:tc>
          <w:tcPr>
            <w:tcW w:w="0" w:type="auto"/>
          </w:tcPr>
          <w:p w14:paraId="64F807C2" w14:textId="77777777" w:rsidR="00D74DC3" w:rsidRDefault="00000000">
            <w:pPr>
              <w:pStyle w:val="Compact"/>
              <w:jc w:val="right"/>
            </w:pPr>
            <w:r>
              <w:t>32</w:t>
            </w:r>
          </w:p>
        </w:tc>
        <w:tc>
          <w:tcPr>
            <w:tcW w:w="0" w:type="auto"/>
          </w:tcPr>
          <w:p w14:paraId="1A4E7AD7" w14:textId="77777777" w:rsidR="00D74DC3" w:rsidRDefault="00000000">
            <w:pPr>
              <w:pStyle w:val="Compact"/>
            </w:pPr>
            <w:r>
              <w:t>2010-01-23 → 2010-02-22</w:t>
            </w:r>
          </w:p>
        </w:tc>
      </w:tr>
    </w:tbl>
    <w:p w14:paraId="44E37955" w14:textId="77777777" w:rsidR="00D74DC3" w:rsidRDefault="00000000">
      <w:pPr>
        <w:pStyle w:val="BodyText"/>
      </w:pPr>
      <w:r>
        <w:rPr>
          <w:b/>
          <w:bCs/>
        </w:rPr>
        <w:t>Caveat.</w:t>
      </w:r>
      <w:r>
        <w:t xml:space="preserve"> Because the threshold is an absolute count rather than a rate, employees who send more email overall are mechanically more likely to be flagged — here every employee qualifies. In practice this flag should be paired with a rate-based check, and sustained streaks rather than one-off spikes should drive any retention action.</w:t>
      </w:r>
    </w:p>
    <w:p w14:paraId="65B291B6" w14:textId="77777777" w:rsidR="00D74DC3" w:rsidRDefault="00000000">
      <w:r>
        <w:pict w14:anchorId="1558831B">
          <v:rect id="_x0000_i1029" style="width:0;height:1.5pt" o:hralign="center" o:hrstd="t" o:hr="t"/>
        </w:pict>
      </w:r>
    </w:p>
    <w:p w14:paraId="0E8CD92C" w14:textId="77777777" w:rsidR="00D74DC3" w:rsidRDefault="00000000">
      <w:pPr>
        <w:pStyle w:val="Heading2"/>
      </w:pPr>
      <w:bookmarkStart w:id="5" w:name="predictive-model-linear-regression"/>
      <w:bookmarkEnd w:id="4"/>
      <w:r>
        <w:t>5. Predictive Model — Linear Regression</w:t>
      </w:r>
    </w:p>
    <w:p w14:paraId="4C742F98" w14:textId="77777777" w:rsidR="00D74DC3" w:rsidRDefault="00000000">
      <w:pPr>
        <w:pStyle w:val="FirstParagraph"/>
      </w:pPr>
      <w:r>
        <w:rPr>
          <w:b/>
          <w:bCs/>
        </w:rPr>
        <w:t>Setup (Task 6).</w:t>
      </w:r>
      <w:r>
        <w:t xml:space="preserve"> The unit of analysis is one </w:t>
      </w:r>
      <w:r>
        <w:rPr>
          <w:rStyle w:val="VerbatimChar"/>
        </w:rPr>
        <w:t>(employee, month)</w:t>
      </w:r>
      <w:r>
        <w:t xml:space="preserve"> row (240 rows). The target is the monthly sentiment score. Features are engineered from that month’s messaging behaviour. We use an 80/20 train/test split (</w:t>
      </w:r>
      <w:r>
        <w:rPr>
          <w:rStyle w:val="VerbatimChar"/>
        </w:rPr>
        <w:t>random_state=42</w:t>
      </w:r>
      <w:r>
        <w:t xml:space="preserve">) and scikit-learn’s </w:t>
      </w:r>
      <w:r>
        <w:rPr>
          <w:rStyle w:val="VerbatimChar"/>
        </w:rPr>
        <w:t>LinearRegression</w:t>
      </w:r>
      <w:r>
        <w:t>, evaluated with R², MAE, and RMSE.</w:t>
      </w:r>
    </w:p>
    <w:p w14:paraId="2052C66B" w14:textId="77777777" w:rsidR="00D74DC3" w:rsidRDefault="00000000">
      <w:pPr>
        <w:pStyle w:val="BodyText"/>
      </w:pPr>
      <w:r>
        <w:t>Two models are fitted:</w:t>
      </w:r>
    </w:p>
    <w:p w14:paraId="2292B570" w14:textId="77777777" w:rsidR="00D74DC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Behavioural model</w:t>
      </w:r>
      <w:r>
        <w:t xml:space="preserve"> — the features the brief suggests: message frequency (</w:t>
      </w:r>
      <w:r>
        <w:rPr>
          <w:rStyle w:val="VerbatimChar"/>
        </w:rPr>
        <w:t>messages</w:t>
      </w:r>
      <w:r>
        <w:t xml:space="preserve">), </w:t>
      </w:r>
      <w:r>
        <w:rPr>
          <w:rStyle w:val="VerbatimChar"/>
        </w:rPr>
        <w:t>avg_msg_length</w:t>
      </w:r>
      <w:r>
        <w:t xml:space="preserve">, </w:t>
      </w:r>
      <w:r>
        <w:rPr>
          <w:rStyle w:val="VerbatimChar"/>
        </w:rPr>
        <w:t>total_words</w:t>
      </w:r>
      <w:r>
        <w:t xml:space="preserve">, </w:t>
      </w:r>
      <w:r>
        <w:rPr>
          <w:rStyle w:val="VerbatimChar"/>
        </w:rPr>
        <w:t>avg_words</w:t>
      </w:r>
      <w:r>
        <w:t>. These are independent of the labels, so this is the honest test of whether behaviour predicts sentiment.</w:t>
      </w:r>
    </w:p>
    <w:p w14:paraId="714756DC" w14:textId="77777777" w:rsidR="00D74DC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Full model</w:t>
      </w:r>
      <w:r>
        <w:t xml:space="preserve"> — additionally includes </w:t>
      </w:r>
      <w:r>
        <w:rPr>
          <w:rStyle w:val="VerbatimChar"/>
        </w:rPr>
        <w:t>pos_ratio</w:t>
      </w:r>
      <w:r>
        <w:t xml:space="preserve"> and </w:t>
      </w:r>
      <w:r>
        <w:rPr>
          <w:rStyle w:val="VerbatimChar"/>
        </w:rPr>
        <w:t>neg_ratio</w:t>
      </w:r>
      <w:r>
        <w:t xml:space="preserve"> (the monthly share of positive/negative emails). Strong predictors, but partly circular since they derive </w:t>
      </w:r>
      <w:r>
        <w:lastRenderedPageBreak/>
        <w:t>from the same labels that define the score; the model is reported as a comparison and read with that caveat.</w:t>
      </w:r>
    </w:p>
    <w:p w14:paraId="58DC3992" w14:textId="77777777" w:rsidR="00D74DC3" w:rsidRDefault="00000000">
      <w:pPr>
        <w:pStyle w:val="FirstParagraph"/>
      </w:pPr>
      <w:r>
        <w:rPr>
          <w:b/>
          <w:bCs/>
        </w:rPr>
        <w:t>Results (held-out test set):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59"/>
        <w:gridCol w:w="664"/>
        <w:gridCol w:w="700"/>
        <w:gridCol w:w="818"/>
      </w:tblGrid>
      <w:tr w:rsidR="00D74DC3" w14:paraId="4BBA7929" w14:textId="77777777" w:rsidTr="00D74D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99756D" w14:textId="77777777" w:rsidR="00D74DC3" w:rsidRDefault="00000000">
            <w:pPr>
              <w:pStyle w:val="Compact"/>
            </w:pPr>
            <w:r>
              <w:t>Model</w:t>
            </w:r>
          </w:p>
        </w:tc>
        <w:tc>
          <w:tcPr>
            <w:tcW w:w="0" w:type="auto"/>
          </w:tcPr>
          <w:p w14:paraId="013A92D8" w14:textId="77777777" w:rsidR="00D74DC3" w:rsidRDefault="00000000">
            <w:pPr>
              <w:pStyle w:val="Compact"/>
            </w:pPr>
            <w:r>
              <w:t>R²</w:t>
            </w:r>
          </w:p>
        </w:tc>
        <w:tc>
          <w:tcPr>
            <w:tcW w:w="0" w:type="auto"/>
          </w:tcPr>
          <w:p w14:paraId="3F201D72" w14:textId="77777777" w:rsidR="00D74DC3" w:rsidRDefault="00000000">
            <w:pPr>
              <w:pStyle w:val="Compact"/>
            </w:pPr>
            <w:r>
              <w:t>MAE</w:t>
            </w:r>
          </w:p>
        </w:tc>
        <w:tc>
          <w:tcPr>
            <w:tcW w:w="0" w:type="auto"/>
          </w:tcPr>
          <w:p w14:paraId="4E166200" w14:textId="77777777" w:rsidR="00D74DC3" w:rsidRDefault="00000000">
            <w:pPr>
              <w:pStyle w:val="Compact"/>
            </w:pPr>
            <w:r>
              <w:t>RMSE</w:t>
            </w:r>
          </w:p>
        </w:tc>
      </w:tr>
      <w:tr w:rsidR="00D74DC3" w14:paraId="4D89A58E" w14:textId="77777777">
        <w:tc>
          <w:tcPr>
            <w:tcW w:w="0" w:type="auto"/>
          </w:tcPr>
          <w:p w14:paraId="4BC6E798" w14:textId="77777777" w:rsidR="00D74DC3" w:rsidRDefault="00000000">
            <w:pPr>
              <w:pStyle w:val="Compact"/>
            </w:pPr>
            <w:r>
              <w:t>Behavioural</w:t>
            </w:r>
          </w:p>
        </w:tc>
        <w:tc>
          <w:tcPr>
            <w:tcW w:w="0" w:type="auto"/>
          </w:tcPr>
          <w:p w14:paraId="28AF99EC" w14:textId="77777777" w:rsidR="00D74DC3" w:rsidRDefault="00000000">
            <w:pPr>
              <w:pStyle w:val="Compact"/>
            </w:pPr>
            <w:r>
              <w:t>0.51</w:t>
            </w:r>
          </w:p>
        </w:tc>
        <w:tc>
          <w:tcPr>
            <w:tcW w:w="0" w:type="auto"/>
          </w:tcPr>
          <w:p w14:paraId="73B0B531" w14:textId="77777777" w:rsidR="00D74DC3" w:rsidRDefault="00000000">
            <w:pPr>
              <w:pStyle w:val="Compact"/>
            </w:pPr>
            <w:r>
              <w:t>1.63</w:t>
            </w:r>
          </w:p>
        </w:tc>
        <w:tc>
          <w:tcPr>
            <w:tcW w:w="0" w:type="auto"/>
          </w:tcPr>
          <w:p w14:paraId="5D241D6C" w14:textId="77777777" w:rsidR="00D74DC3" w:rsidRDefault="00000000">
            <w:pPr>
              <w:pStyle w:val="Compact"/>
            </w:pPr>
            <w:r>
              <w:t>2.35</w:t>
            </w:r>
          </w:p>
        </w:tc>
      </w:tr>
      <w:tr w:rsidR="00D74DC3" w14:paraId="50C41858" w14:textId="77777777">
        <w:tc>
          <w:tcPr>
            <w:tcW w:w="0" w:type="auto"/>
          </w:tcPr>
          <w:p w14:paraId="34A112F3" w14:textId="77777777" w:rsidR="00D74DC3" w:rsidRDefault="00000000">
            <w:pPr>
              <w:pStyle w:val="Compact"/>
            </w:pPr>
            <w:r>
              <w:t>Full</w:t>
            </w:r>
          </w:p>
        </w:tc>
        <w:tc>
          <w:tcPr>
            <w:tcW w:w="0" w:type="auto"/>
          </w:tcPr>
          <w:p w14:paraId="2260D05E" w14:textId="77777777" w:rsidR="00D74DC3" w:rsidRDefault="00000000">
            <w:pPr>
              <w:pStyle w:val="Compact"/>
            </w:pPr>
            <w:r>
              <w:t>0.80</w:t>
            </w:r>
          </w:p>
        </w:tc>
        <w:tc>
          <w:tcPr>
            <w:tcW w:w="0" w:type="auto"/>
          </w:tcPr>
          <w:p w14:paraId="772662B0" w14:textId="77777777" w:rsidR="00D74DC3" w:rsidRDefault="00000000">
            <w:pPr>
              <w:pStyle w:val="Compact"/>
            </w:pPr>
            <w:r>
              <w:t>1.00</w:t>
            </w:r>
          </w:p>
        </w:tc>
        <w:tc>
          <w:tcPr>
            <w:tcW w:w="0" w:type="auto"/>
          </w:tcPr>
          <w:p w14:paraId="16A4F127" w14:textId="77777777" w:rsidR="00D74DC3" w:rsidRDefault="00000000">
            <w:pPr>
              <w:pStyle w:val="Compact"/>
            </w:pPr>
            <w:r>
              <w:t>1.49</w:t>
            </w:r>
          </w:p>
        </w:tc>
      </w:tr>
    </w:tbl>
    <w:p w14:paraId="0DE6C422" w14:textId="77777777" w:rsidR="00D74DC3" w:rsidRDefault="00000000">
      <w:pPr>
        <w:pStyle w:val="BodyText"/>
      </w:pPr>
      <w:r>
        <w:rPr>
          <w:b/>
          <w:bCs/>
        </w:rPr>
        <w:t>Interpretation.</w:t>
      </w:r>
    </w:p>
    <w:p w14:paraId="68FF0FDC" w14:textId="77777777" w:rsidR="00D74DC3" w:rsidRDefault="00000000">
      <w:pPr>
        <w:pStyle w:val="Compact"/>
        <w:numPr>
          <w:ilvl w:val="0"/>
          <w:numId w:val="4"/>
        </w:numPr>
      </w:pPr>
      <w:r>
        <w:t xml:space="preserve">In the behavioural model, </w:t>
      </w:r>
      <w:r>
        <w:rPr>
          <w:b/>
          <w:bCs/>
        </w:rPr>
        <w:t>message frequency is the dominant driver</w:t>
      </w:r>
      <w:r>
        <w:t xml:space="preserve"> — employees who send more email in a month tend to have higher net scores, because most messages are positive. Message length contributes little.</w:t>
      </w:r>
    </w:p>
    <w:p w14:paraId="1C105E04" w14:textId="77777777" w:rsidR="00D74DC3" w:rsidRDefault="00000000">
      <w:pPr>
        <w:pStyle w:val="Compact"/>
        <w:numPr>
          <w:ilvl w:val="0"/>
          <w:numId w:val="4"/>
        </w:numPr>
      </w:pPr>
      <w:r>
        <w:t xml:space="preserve">In the full model, </w:t>
      </w:r>
      <w:r>
        <w:rPr>
          <w:rStyle w:val="VerbatimChar"/>
        </w:rPr>
        <w:t>neg_ratio</w:t>
      </w:r>
      <w:r>
        <w:t xml:space="preserve"> (large negative coefficient) and </w:t>
      </w:r>
      <w:r>
        <w:rPr>
          <w:rStyle w:val="VerbatimChar"/>
        </w:rPr>
        <w:t>pos_ratio</w:t>
      </w:r>
      <w:r>
        <w:t xml:space="preserve"> (positive coefficient) dominate, as expected; that lift is largely mechanical and should not be read as a new behavioural insight.</w:t>
      </w:r>
    </w:p>
    <w:p w14:paraId="3AF372EE" w14:textId="77777777" w:rsidR="00D74DC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Takeaway:</w:t>
      </w:r>
      <w:r>
        <w:t xml:space="preserve"> behaviour alone — chiefly volume — explains a meaningful share of monthly sentiment (R² ≈ 0.51), while the sentiment mix is what really moves the score. Prediction error is modest (MAE around 1 score point on the full model).</w:t>
      </w:r>
    </w:p>
    <w:p w14:paraId="288CE622" w14:textId="77777777" w:rsidR="00D74DC3" w:rsidRDefault="00000000">
      <w:pPr>
        <w:pStyle w:val="FirstParagraph"/>
      </w:pPr>
      <w:r>
        <w:t xml:space="preserve">Diagnostics (predicted-vs-actual, residuals, coefficients) are saved in </w:t>
      </w:r>
      <w:r>
        <w:rPr>
          <w:rStyle w:val="VerbatimChar"/>
        </w:rPr>
        <w:t>visualization/</w:t>
      </w:r>
      <w:r>
        <w:t>.</w:t>
      </w:r>
    </w:p>
    <w:p w14:paraId="40657FBE" w14:textId="77777777" w:rsidR="00D74DC3" w:rsidRDefault="00000000">
      <w:r>
        <w:pict w14:anchorId="7FAA680A">
          <v:rect id="_x0000_i1030" style="width:0;height:1.5pt" o:hralign="center" o:hrstd="t" o:hr="t"/>
        </w:pict>
      </w:r>
    </w:p>
    <w:p w14:paraId="10E26A40" w14:textId="77777777" w:rsidR="00D74DC3" w:rsidRDefault="00000000">
      <w:pPr>
        <w:pStyle w:val="Heading2"/>
      </w:pPr>
      <w:bookmarkStart w:id="6" w:name="conclusions-and-recommendations"/>
      <w:bookmarkEnd w:id="5"/>
      <w:r>
        <w:t>6. Conclusions and Recommendations</w:t>
      </w:r>
    </w:p>
    <w:p w14:paraId="5912E500" w14:textId="77777777" w:rsidR="00D74DC3" w:rsidRDefault="00000000">
      <w:pPr>
        <w:pStyle w:val="Compact"/>
        <w:numPr>
          <w:ilvl w:val="0"/>
          <w:numId w:val="5"/>
        </w:numPr>
      </w:pPr>
      <w:r>
        <w:t>Baseline engagement is healthy and stable: a consistently positive-leaning corpus with no data-quality problems.</w:t>
      </w:r>
    </w:p>
    <w:p w14:paraId="44E82357" w14:textId="77777777" w:rsidR="00D74DC3" w:rsidRDefault="00000000">
      <w:pPr>
        <w:pStyle w:val="Compact"/>
        <w:numPr>
          <w:ilvl w:val="0"/>
          <w:numId w:val="5"/>
        </w:numPr>
      </w:pPr>
      <w:r>
        <w:t xml:space="preserve">The actionable signal is concentrated in negative-email streaks. Every employee crosses the rolling 30-day threshold at least once; the accounts to prioritize are those with the highest negative volume and the tightest windows, with attention to </w:t>
      </w:r>
      <w:r>
        <w:rPr>
          <w:i/>
          <w:iCs/>
        </w:rPr>
        <w:t>sustained</w:t>
      </w:r>
      <w:r>
        <w:t xml:space="preserve"> rather than one-off negativity and an awareness of the volume bias in the absolute-count rule.</w:t>
      </w:r>
    </w:p>
    <w:p w14:paraId="18A0A17E" w14:textId="77777777" w:rsidR="00D74DC3" w:rsidRDefault="00000000">
      <w:pPr>
        <w:pStyle w:val="Compact"/>
        <w:numPr>
          <w:ilvl w:val="0"/>
          <w:numId w:val="5"/>
        </w:numPr>
      </w:pPr>
      <w:r>
        <w:t>Monthly sentiment is quantifiable and forecastable from simple behavioural features, with message volume the leading indicator.</w:t>
      </w:r>
    </w:p>
    <w:p w14:paraId="65600CED" w14:textId="77777777" w:rsidR="00D74DC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Operationally:</w:t>
      </w:r>
      <w:r>
        <w:t xml:space="preserve"> re-run this pipeline monthly, track the flagged employees’ negative-email windows over time, and complement the flight-risk count with a rate-normalized version before taking retention action.</w:t>
      </w:r>
    </w:p>
    <w:p w14:paraId="30DCDC1B" w14:textId="77777777" w:rsidR="00D74DC3" w:rsidRDefault="00000000">
      <w:r>
        <w:pict w14:anchorId="4766418B">
          <v:rect id="_x0000_i1031" style="width:0;height:1.5pt" o:hralign="center" o:hrstd="t" o:hr="t"/>
        </w:pict>
      </w:r>
    </w:p>
    <w:p w14:paraId="23F4C2E4" w14:textId="77777777" w:rsidR="00D74DC3" w:rsidRDefault="00000000">
      <w:pPr>
        <w:pStyle w:val="Heading2"/>
      </w:pPr>
      <w:bookmarkStart w:id="7" w:name="reproducibility"/>
      <w:bookmarkEnd w:id="6"/>
      <w:r>
        <w:t>7. Reproducibility</w:t>
      </w:r>
    </w:p>
    <w:p w14:paraId="7FE55873" w14:textId="77777777" w:rsidR="00D74DC3" w:rsidRDefault="00000000">
      <w:pPr>
        <w:pStyle w:val="FirstParagraph"/>
      </w:pPr>
      <w:r>
        <w:t xml:space="preserve">All results in this report were generated by </w:t>
      </w:r>
      <w:r>
        <w:rPr>
          <w:rStyle w:val="VerbatimChar"/>
        </w:rPr>
        <w:t>run_pipeline.py</w:t>
      </w:r>
      <w:r>
        <w:t xml:space="preserve"> (or equivalently by running the notebook end-to-end). TextBlob labeling is deterministic and the regression uses a fixed random seed, so the labels, scores, rankings, flight-risk flags, and model metrics reproduce exactly. Intermediate tables are in </w:t>
      </w:r>
      <w:r>
        <w:rPr>
          <w:rStyle w:val="VerbatimChar"/>
        </w:rPr>
        <w:t>outputs/</w:t>
      </w:r>
      <w:r>
        <w:t xml:space="preserve">; figures are in </w:t>
      </w:r>
      <w:r>
        <w:rPr>
          <w:rStyle w:val="VerbatimChar"/>
        </w:rPr>
        <w:t>visualization/</w:t>
      </w:r>
      <w:r>
        <w:t>.</w:t>
      </w:r>
      <w:bookmarkEnd w:id="0"/>
      <w:bookmarkEnd w:id="7"/>
    </w:p>
    <w:sectPr w:rsidR="00D74DC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21A4A" w14:textId="77777777" w:rsidR="00222276" w:rsidRDefault="00222276">
      <w:pPr>
        <w:spacing w:after="0"/>
      </w:pPr>
      <w:r>
        <w:separator/>
      </w:r>
    </w:p>
  </w:endnote>
  <w:endnote w:type="continuationSeparator" w:id="0">
    <w:p w14:paraId="0059821C" w14:textId="77777777" w:rsidR="00222276" w:rsidRDefault="0022227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EFAE6" w14:textId="77777777" w:rsidR="00222276" w:rsidRDefault="00222276">
      <w:r>
        <w:separator/>
      </w:r>
    </w:p>
  </w:footnote>
  <w:footnote w:type="continuationSeparator" w:id="0">
    <w:p w14:paraId="159D5350" w14:textId="77777777" w:rsidR="00222276" w:rsidRDefault="002222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CC69FB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02E48A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6DC763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477184550">
    <w:abstractNumId w:val="0"/>
  </w:num>
  <w:num w:numId="2" w16cid:durableId="32661638">
    <w:abstractNumId w:val="1"/>
  </w:num>
  <w:num w:numId="3" w16cid:durableId="15790488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2967946">
    <w:abstractNumId w:val="1"/>
  </w:num>
  <w:num w:numId="5" w16cid:durableId="12282984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4DC3"/>
    <w:rsid w:val="000F5600"/>
    <w:rsid w:val="00222276"/>
    <w:rsid w:val="00721F66"/>
    <w:rsid w:val="00D74DC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C9717"/>
  <w15:docId w15:val="{3038028C-8F71-4E27-BC1C-8FCB7380D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1287</Words>
  <Characters>7339</Characters>
  <Application>Microsoft Office Word</Application>
  <DocSecurity>0</DocSecurity>
  <Lines>61</Lines>
  <Paragraphs>17</Paragraphs>
  <ScaleCrop>false</ScaleCrop>
  <Company/>
  <LinksUpToDate>false</LinksUpToDate>
  <CharactersWithSpaces>8609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Sudhanshu Ravindra Kadam</cp:lastModifiedBy>
  <cp:revision>2</cp:revision>
  <dcterms:created xsi:type="dcterms:W3CDTF">2026-06-26T19:27:00Z</dcterms:created>
  <dcterms:modified xsi:type="dcterms:W3CDTF">2026-06-26T19:32:00Z</dcterms:modified>
</cp:coreProperties>
</file>