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 xml:space="preserve">CC-ResDiff: Bounding Seed-Dependent Color Drift in Residual-Space Diffusion Super-Resolution</w:t>
      </w:r>
    </w:p>
    <w:p>
      <w:pPr>
        <w:pStyle w:val="author"/>
      </w:pPr>
      <w:r>
        <w:t xml:space="preserve">Sudhir Kumar</w:t>
      </w:r>
      <w:r>
        <w:rPr>
          <w:vertAlign w:val="superscript"/>
        </w:rPr>
        <w:t>1</w:t>
      </w:r>
      <w:r>
        <w:t xml:space="preserve"> and </w:t>
      </w:r>
      <w:r>
        <w:t xml:space="preserve">Sanjoy Chattopadhyay</w:t>
      </w:r>
      <w:r>
        <w:rPr>
          <w:vertAlign w:val="superscript"/>
        </w:rPr>
        <w:t>2</w:t>
      </w:r>
    </w:p>
    <w:p>
      <w:pPr>
        <w:pStyle w:val="address"/>
      </w:pPr>
      <w:r>
        <w:rPr>
          <w:vertAlign w:val="superscript"/>
        </w:rPr>
        <w:t>1</w:t>
      </w:r>
      <w:r>
        <w:t xml:space="preserve"> TODO: Department, Institution, City, Country</w:t>
      </w:r>
    </w:p>
    <w:p>
      <w:pPr>
        <w:pStyle w:val="address"/>
      </w:pPr>
      <w:r>
        <w:rPr>
          <w:vertAlign w:val="superscript"/>
        </w:rPr>
        <w:t>2</w:t>
      </w:r>
      <w:r>
        <w:t xml:space="preserve"> TODO: Department, Institution, City, Country</w:t>
      </w:r>
    </w:p>
    <w:p>
      <w:pPr>
        <w:pStyle w:val="address"/>
      </w:pPr>
      <w:r>
        <w:rPr>
          <w:rStyle w:val="e-mail"/>
        </w:rPr>
        <w:t>snghsudhirkumar06@gmail.com</w:t>
      </w:r>
      <w:r>
        <w:t xml:space="preserve">, </w:t>
      </w:r>
      <w:r>
        <w:rPr>
          <w:rStyle w:val="e-mail"/>
        </w:rPr>
        <w:t>chattopadhyaysanjoy18@gmail.com</w:t>
      </w:r>
    </w:p>
    <w:p>
      <w:pPr>
        <w:pStyle w:val="abstract"/>
      </w:pPr>
      <w:r>
        <w:rPr>
          <w:b/>
        </w:rPr>
        <w:t xml:space="preserve">Abstract. </w:t>
      </w:r>
      <w:r>
        <w:t xml:space="preserve">Residual-space diffusion models for super-resolution, such as SRDiff and ResDiff, train a diffusion model to predict the residual between a CNN prediction and the ground truth. Because that residual is mostly high-frequency, and recent work strengthens high-frequency guidance further, the global color of the output is never supervised directly. ResDiff reports the consequence—visible color discrepancy in under-trained models—and proposes a global color feature as future work. We implement that proposal as a Global Color-Consistency (GCC) loss: an auxiliary term comparing spatially pooled color statistics of the model's implied clean prediction with the ground truth. It is training-time only and leaves inference cost unchanged. Our main finding concerns the baseline rather than the loss: across three seeds of an otherwise identical configuration, baseline color error varies over 0.14–0.82, so single-run comparisons of color-consistency methods are unreliable. Against that variability the GCC loss acts as a stabiliser, confining color error to 0.15–0.26 across five paired experimental configurations spanning two datasets and an 8× range of training-set size, with 6.5× lower standard deviation. It bounds color drift where it occurs rather than improving color uniformly, recovering most of the gap on runs that drift and remaining neutral on those that do not—which also explains a DIV2K result that in isolation reads as a failure to generalise. The trade-off is explicit: PSNR, SSIM and LPIPS are unchanged within seed noise, and FID is consistently worse by 2.73. We report that regression, and an ablation refuting our own explanation for it.</w:t>
      </w:r>
    </w:p>
    <w:p>
      <w:pPr>
        <w:pStyle w:val="keywords"/>
      </w:pPr>
      <w:r>
        <w:rPr>
          <w:b/>
        </w:rPr>
        <w:t xml:space="preserve">Keywords: </w:t>
      </w:r>
      <w:r>
        <w:t xml:space="preserve">image super-resolution, diffusion models, color consistency, auxiliary loss, training stability, seed variance, residual learning, generative models.</w:t>
      </w:r>
    </w:p>
    <w:p>
      <w:pPr>
        <w:pStyle w:val="heading1"/>
      </w:pPr>
      <w:r>
        <w:t xml:space="preserve">Introduction</w:t>
      </w:r>
    </w:p>
    <w:p>
      <w:pPr>
        <w:pStyle w:val="p1a"/>
      </w:pPr>
      <w:r>
        <w:t xml:space="preserve">Single image super-resolution (SISR) is ill-posed. Adversarial methods [8, 9] were long dominant but train unstably; denoising diffusion models [4] have largely displaced them. Residual-space variants are the strongest of these for SISR: SRDiff [2] and ResDiff [1] first use a CNN to recover low-frequency content, then train a diffusion model to generate only the </w:t>
      </w:r>
      <w:r>
        <w:rPr>
          <w:i/>
        </w:rPr>
        <w:t xml:space="preserve">residual</w:t>
      </w:r>
      <w:r>
        <w:t xml:space="preserve"> between that prediction and the ground truth, which accelerates convergence.</w:t>
      </w:r>
    </w:p>
    <w:p>
      <w:pPr>
        <w:pStyle w:val="Normal"/>
      </w:pPr>
      <w:r>
        <w:t xml:space="preserve">This design has an under-examined consequence. The residual is mostly high-frequency, and the ε-prediction objective supervises the noise added to it, so nothing constrains the absolute color of the reconstruction. ResDiff sharpens the imbalance by adding frequency-domain losses and high-frequency-guided cross-attention—improving detail while supplying no color signal—and observes the result directly, noting that “the color will appear a large discrepancy when the model is under-trained,” attributing it to “a lack of color features in the guided high-frequency information,” and proposing that “utilizing a global color feature may well address this issue in future work” [1]. We take up that proposal.</w:t>
      </w:r>
    </w:p>
    <w:p>
      <w:pPr>
        <w:pStyle w:val="heading 3"/>
      </w:pPr>
      <w:r>
        <w:rPr>
          <w:rStyle w:val="heading3"/>
          <w:b/>
        </w:rPr>
        <w:t xml:space="preserve">Contributions.</w:t>
      </w:r>
      <w:r>
        <w:rPr>
          <w:rStyle w:val="heading3"/>
          <w:b/>
        </w:rPr>
        <w:t xml:space="preserve"> </w:t>
      </w:r>
      <w:r>
        <w:rPr>
          <w:b w:val="0"/>
        </w:rPr>
        <w:t xml:space="preserve">(i) A Global Color-Consistency loss for residual-space diffusion SISR, adding no parameters and leaving sampling unchanged, so inference cost is identical to the baseline. (ii) The observation that </w:t>
      </w:r>
      <w:r>
        <w:rPr>
          <w:b w:val="0"/>
          <w:i/>
        </w:rPr>
        <w:t xml:space="preserve">baseline</w:t>
      </w:r>
      <w:r>
        <w:rPr>
          <w:b w:val="0"/>
        </w:rPr>
        <w:t xml:space="preserve"> color drift is itself strongly seed-dependent, varying sixfold across identical configurations, which implies single-run comparisons of color-consistency methods—including the first run of our own—can misstate an effect severalfold. (iii) A gradient-level analysis showing the auxiliary term's influence spans five orders of magnitude across the diffusion trajectory, with an ablation identifying that skew as the mechanism rather than an artefact. (iv) An explicit account of the costs: no distortion benefit, and a consistent FID regression we could not explain.</w:t>
      </w:r>
    </w:p>
    <w:p>
      <w:pPr>
        <w:pStyle w:val="heading1"/>
      </w:pPr>
      <w:r>
        <w:t xml:space="preserve">Related Work</w:t>
      </w:r>
    </w:p>
    <w:p>
      <w:pPr>
        <w:pStyle w:val="heading 3"/>
      </w:pPr>
      <w:r>
        <w:rPr>
          <w:rStyle w:val="heading3"/>
          <w:b/>
        </w:rPr>
        <w:t xml:space="preserve">Diffusion SISR.</w:t>
      </w:r>
      <w:r>
        <w:rPr>
          <w:rStyle w:val="heading3"/>
          <w:b/>
        </w:rPr>
        <w:t xml:space="preserve"> </w:t>
      </w:r>
      <w:r>
        <w:rPr>
          <w:b w:val="0"/>
        </w:rPr>
        <w:t xml:space="preserve">SR3 [3] conditions DDPM on an upsampled LR image. SRDiff [2] introduces residual prediction; ResDiff [1] adds frequency-domain guidance. The trajectory of this line is towards stronger high-frequency supervision, leaving low-frequency content to the CNN and never supervising it directly.</w:t>
      </w:r>
    </w:p>
    <w:p>
      <w:pPr>
        <w:pStyle w:val="heading 3"/>
      </w:pPr>
      <w:r>
        <w:rPr>
          <w:rStyle w:val="heading3"/>
          <w:b/>
        </w:rPr>
        <w:t xml:space="preserve">Color correction and loss weighting.</w:t>
      </w:r>
      <w:r>
        <w:rPr>
          <w:rStyle w:val="heading3"/>
          <w:b/>
        </w:rPr>
        <w:t xml:space="preserve"> </w:t>
      </w:r>
      <w:r>
        <w:rPr>
          <w:b w:val="0"/>
        </w:rPr>
        <w:t xml:space="preserve">Established color methods are corrective and act outside the model: per-channel statistic matching [10], full distribution transfer [11] and color constancy [12, 13] all require a reference or an illuminant estimate at test time. Section 4.3 shows that distinction is decisive rather than academic. Separately, timestep reweighting of the </w:t>
      </w:r>
      <w:r>
        <w:rPr>
          <w:b w:val="0"/>
          <w:i/>
        </w:rPr>
        <w:t xml:space="preserve">primary</w:t>
      </w:r>
      <w:r>
        <w:rPr>
          <w:b w:val="0"/>
        </w:rPr>
        <w:t xml:space="preserve"> diffusion objective is well studied [5, 6, 7]; we show that an </w:t>
      </w:r>
      <w:r>
        <w:rPr>
          <w:b w:val="0"/>
          <w:i/>
        </w:rPr>
        <w:t xml:space="preserve">auxiliary</w:t>
      </w:r>
      <w:r>
        <w:rPr>
          <w:b w:val="0"/>
        </w:rPr>
        <w:t xml:space="preserve"> loss on the reconstructed </w:t>
      </w:r>
      <w:r>
        <w:rPr>
          <w:b w:val="0"/>
          <w:i/>
        </w:rPr>
        <w:t xml:space="preserve">x</w:t>
      </w:r>
      <w:r>
        <w:rPr>
          <w:b w:val="0"/>
          <w:vertAlign w:val="subscript"/>
        </w:rPr>
        <w:t xml:space="preserve">0</w:t>
      </w:r>
      <w:r>
        <w:rPr>
          <w:b w:val="0"/>
        </w:rPr>
        <w:t xml:space="preserve"> inherits an extreme implicit weighting whether or not its designer intends it.</w:t>
      </w:r>
    </w:p>
    <w:p>
      <w:pPr>
        <w:pStyle w:val="heading1"/>
      </w:pPr>
      <w:r>
        <w:t xml:space="preserve">Method</w:t>
      </w:r>
    </w:p>
    <w:p>
      <w:pPr>
        <w:pStyle w:val="p1a"/>
      </w:pPr>
      <w:r>
        <w:t xml:space="preserve">Let </w:t>
      </w:r>
      <w:r>
        <w:rPr>
          <w:i/>
        </w:rPr>
        <w:t xml:space="preserve">x</w:t>
      </w:r>
      <w:r>
        <w:rPr>
          <w:i/>
          <w:vertAlign w:val="subscript"/>
        </w:rPr>
        <w:t xml:space="preserve">LR</w:t>
      </w:r>
      <w:r>
        <w:t xml:space="preserve">, </w:t>
      </w:r>
      <w:r>
        <w:rPr>
          <w:i/>
        </w:rPr>
        <w:t xml:space="preserve">x</w:t>
      </w:r>
      <w:r>
        <w:rPr>
          <w:i/>
          <w:vertAlign w:val="subscript"/>
        </w:rPr>
        <w:t xml:space="preserve">HR</w:t>
      </w:r>
      <w:r>
        <w:t xml:space="preserve"> and </w:t>
      </w:r>
      <w:r>
        <w:rPr>
          <w:i/>
        </w:rPr>
        <w:t xml:space="preserve">x</w:t>
      </w:r>
      <w:r>
        <w:rPr>
          <w:i/>
          <w:vertAlign w:val="subscript"/>
        </w:rPr>
        <w:t xml:space="preserve">up</w:t>
      </w:r>
      <w:r>
        <w:t xml:space="preserve"> denote the LR input, the ground truth and the bicubically upsampled input. Residual diffusion targets </w:t>
      </w:r>
      <w:r>
        <w:rPr>
          <w:i/>
        </w:rPr>
        <w:t xml:space="preserve">r</w:t>
      </w:r>
      <w:r>
        <w:t xml:space="preserve"> = </w:t>
      </w:r>
      <w:r>
        <w:rPr>
          <w:i/>
        </w:rPr>
        <w:t xml:space="preserve">s</w:t>
      </w:r>
      <w:r>
        <w:t xml:space="preserve"> (</w:t>
      </w:r>
      <w:r>
        <w:rPr>
          <w:i/>
        </w:rPr>
        <w:t xml:space="preserve">x</w:t>
      </w:r>
      <w:r>
        <w:rPr>
          <w:i/>
          <w:vertAlign w:val="subscript"/>
        </w:rPr>
        <w:t xml:space="preserve">HR</w:t>
      </w:r>
      <w:r>
        <w:t xml:space="preserve"> − </w:t>
      </w:r>
      <w:r>
        <w:rPr>
          <w:i/>
        </w:rPr>
        <w:t xml:space="preserve">x</w:t>
      </w:r>
      <w:r>
        <w:rPr>
          <w:i/>
          <w:vertAlign w:val="subscript"/>
        </w:rPr>
        <w:t xml:space="preserve">up</w:t>
      </w:r>
      <w:r>
        <w:t xml:space="preserve">), clipped to [−1,1], with the usual forward process </w:t>
      </w:r>
      <w:r>
        <w:rPr>
          <w:i/>
        </w:rPr>
        <w:t xml:space="preserve">r</w:t>
      </w:r>
      <w:r>
        <w:rPr>
          <w:i/>
          <w:vertAlign w:val="subscript"/>
        </w:rPr>
        <w:t xml:space="preserve">t</w:t>
      </w:r>
      <w:r>
        <w:t xml:space="preserve"> = √ᾱ</w:t>
      </w:r>
      <w:r>
        <w:rPr>
          <w:i/>
          <w:vertAlign w:val="subscript"/>
        </w:rPr>
        <w:t xml:space="preserve">t</w:t>
      </w:r>
      <w:r>
        <w:t xml:space="preserve"> </w:t>
      </w:r>
      <w:r>
        <w:rPr>
          <w:i/>
        </w:rPr>
        <w:t xml:space="preserve">r</w:t>
      </w:r>
      <w:r>
        <w:t xml:space="preserve"> + √(1−ᾱ</w:t>
      </w:r>
      <w:r>
        <w:rPr>
          <w:i/>
          <w:vertAlign w:val="subscript"/>
        </w:rPr>
        <w:t xml:space="preserve">t</w:t>
      </w:r>
      <w:r>
        <w:t xml:space="preserve">) ε and objective</w:t>
      </w:r>
    </w:p>
    <w:p>
      <w:pPr>
        <w:pStyle w:val="equation"/>
      </w:pPr>
      <w:r>
        <w:tab/>
      </w:r>
      <m:oMath>
        <m:sSub>
          <m:e>
            <m:r>
              <w:rPr>
                <w:rFonts w:ascii="Cambria Math" w:hAnsi="Cambria Math"/>
              </w:rPr>
              <m:t xml:space="preserve">L</m:t>
            </m:r>
          </m:e>
          <m:sub>
            <m:r>
              <m:rPr>
                <m:sty m:val="p"/>
              </m:rPr>
              <w:rPr>
                <w:rFonts w:ascii="Cambria Math" w:hAnsi="Cambria Math"/>
              </w:rPr>
              <m:t xml:space="preserve">DDPM</m:t>
            </m:r>
          </m:sub>
        </m:sSub>
        <m:r>
          <m:rPr>
            <m:sty m:val="p"/>
          </m:rPr>
          <w:rPr>
            <w:rFonts w:ascii="Cambria Math" w:hAnsi="Cambria Math"/>
          </w:rPr>
          <m:t xml:space="preserve"> = </m:t>
        </m:r>
        <m:r>
          <w:rPr>
            <w:rFonts w:ascii="Cambria Math" w:hAnsi="Cambria Math"/>
          </w:rPr>
          <m:t xml:space="preserve">E</m:t>
        </m:r>
        <m:d>
          <m:dPr>
            <m:begChr m:val="["/>
            <m:endChr m:val="]"/>
          </m:dPr>
          <m:e>
            <m:sSub>
              <m:e>
                <m:d>
                  <m:dPr>
                    <m:begChr m:val="‖"/>
                    <m:endChr m:val="‖"/>
                  </m:dPr>
                  <m:e>
                    <m:r>
                      <w:rPr>
                        <w:rFonts w:ascii="Cambria Math" w:hAnsi="Cambria Math"/>
                      </w:rPr>
                      <m:t xml:space="preserve">ε</m:t>
                    </m:r>
                    <m:r>
                      <m:rPr>
                        <m:sty m:val="p"/>
                      </m:rPr>
                      <w:rPr>
                        <w:rFonts w:ascii="Cambria Math" w:hAnsi="Cambria Math"/>
                      </w:rPr>
                      <m:t xml:space="preserve"> − </m:t>
                    </m:r>
                    <m:sSub>
                      <m:e>
                        <m:r>
                          <w:rPr>
                            <w:rFonts w:ascii="Cambria Math" w:hAnsi="Cambria Math"/>
                          </w:rPr>
                          <m:t xml:space="preserve">ε</m:t>
                        </m:r>
                      </m:e>
                      <m:sub>
                        <m:r>
                          <w:rPr>
                            <w:rFonts w:ascii="Cambria Math" w:hAnsi="Cambria Math"/>
                          </w:rPr>
                          <m:t xml:space="preserve">θ</m:t>
                        </m:r>
                      </m:sub>
                    </m:sSub>
                    <m:d>
                      <m:dPr>
                        <m:begChr m:val="("/>
                        <m:endChr m:val=")"/>
                      </m:dPr>
                      <m:e>
                        <m:sSub>
                          <m:e>
                            <m:r>
                              <w:rPr>
                                <w:rFonts w:ascii="Cambria Math" w:hAnsi="Cambria Math"/>
                              </w:rPr>
                              <m:t xml:space="preserve">r</m:t>
                            </m:r>
                          </m:e>
                          <m:sub>
                            <m:r>
                              <w:rPr>
                                <w:rFonts w:ascii="Cambria Math" w:hAnsi="Cambria Math"/>
                              </w:rPr>
                              <m:t xml:space="preserve">t</m:t>
                            </m:r>
                          </m:sub>
                        </m:sSub>
                        <m:r>
                          <m:rPr>
                            <m:sty m:val="p"/>
                          </m:rPr>
                          <w:rPr>
                            <w:rFonts w:ascii="Cambria Math" w:hAnsi="Cambria Math"/>
                          </w:rPr>
                          <m:t xml:space="preserve">, </m:t>
                        </m:r>
                        <m:r>
                          <w:rPr>
                            <w:rFonts w:ascii="Cambria Math" w:hAnsi="Cambria Math"/>
                          </w:rPr>
                          <m:t xml:space="preserve">t</m:t>
                        </m:r>
                        <m:r>
                          <m:rPr>
                            <m:sty m:val="p"/>
                          </m:rPr>
                          <w:rPr>
                            <w:rFonts w:ascii="Cambria Math" w:hAnsi="Cambria Math"/>
                          </w:rPr>
                          <m:t xml:space="preserve">, </m:t>
                        </m:r>
                        <m:r>
                          <w:rPr>
                            <w:rFonts w:ascii="Cambria Math" w:hAnsi="Cambria Math"/>
                          </w:rPr>
                          <m:t xml:space="preserve">c</m:t>
                        </m:r>
                      </m:e>
                    </m:d>
                  </m:e>
                </m:d>
              </m:e>
              <m:sub>
                <m:r>
                  <m:rPr>
                    <m:sty m:val="p"/>
                  </m:rPr>
                  <w:rPr>
                    <w:rFonts w:ascii="Cambria Math" w:hAnsi="Cambria Math"/>
                  </w:rPr>
                  <m:t xml:space="preserve">1</m:t>
                </m:r>
              </m:sub>
            </m:sSub>
          </m:e>
        </m:d>
      </m:oMath>
      <w:r>
        <w:tab/>
        <w:t>(</w:t>
      </w:r>
      <w:fldSimple w:instr=" SEQ &quot;Equation&quot; \n \* MERGEFORMAT ">
        <w:r>
          <w:rPr>
            <w:noProof/>
          </w:rPr>
          <w:t>1</w:t>
        </w:r>
      </w:fldSimple>
      <w:r>
        <w:t>)</w:t>
      </w:r>
    </w:p>
    <w:p>
      <w:pPr>
        <w:pStyle w:val="p1a"/>
      </w:pPr>
      <w:r>
        <w:t xml:space="preserve">where </w:t>
      </w:r>
      <w:r>
        <w:rPr>
          <w:i/>
        </w:rPr>
        <w:t xml:space="preserve">c</w:t>
      </w:r>
      <w:r>
        <w:t xml:space="preserve"> is CNN-derived conditioning. Nothing in Eq. 1 references the absolute color of the reconstruction.</w:t>
      </w:r>
    </w:p>
    <w:p>
      <w:pPr>
        <w:pStyle w:val="Normal"/>
      </w:pPr>
      <w:r>
        <w:t xml:space="preserve">We recover the implied clean residual through the standard closed form,</w:t>
      </w:r>
    </w:p>
    <w:p>
      <w:pPr>
        <w:pStyle w:val="equation"/>
      </w:pPr>
      <w:r>
        <w:tab/>
      </w:r>
      <m:oMath>
        <m:sSub>
          <m:e>
            <m:acc>
              <m:accPr>
                <m:chr m:val="̂"/>
              </m:accPr>
              <m:e>
                <m:r>
                  <w:rPr>
                    <w:rFonts w:ascii="Cambria Math" w:hAnsi="Cambria Math"/>
                  </w:rPr>
                  <m:t xml:space="preserve">r</m:t>
                </m:r>
              </m:e>
            </m:acc>
          </m:e>
          <m:sub>
            <m:r>
              <m:rPr>
                <m:sty m:val="p"/>
              </m:rPr>
              <w:rPr>
                <w:rFonts w:ascii="Cambria Math" w:hAnsi="Cambria Math"/>
              </w:rPr>
              <m:t xml:space="preserve">0</m:t>
            </m:r>
          </m:sub>
        </m:sSub>
        <m:r>
          <m:rPr>
            <m:sty m:val="p"/>
          </m:rPr>
          <w:rPr>
            <w:rFonts w:ascii="Cambria Math" w:hAnsi="Cambria Math"/>
          </w:rPr>
          <m:t xml:space="preserve"> = </m:t>
        </m:r>
        <m:f>
          <m:num>
            <m:sSub>
              <m:e>
                <m:r>
                  <w:rPr>
                    <w:rFonts w:ascii="Cambria Math" w:hAnsi="Cambria Math"/>
                  </w:rPr>
                  <m:t xml:space="preserve">r</m:t>
                </m:r>
              </m:e>
              <m:sub>
                <m:r>
                  <w:rPr>
                    <w:rFonts w:ascii="Cambria Math" w:hAnsi="Cambria Math"/>
                  </w:rPr>
                  <m:t xml:space="preserve">t</m:t>
                </m:r>
              </m:sub>
            </m:sSub>
            <m:r>
              <m:rPr>
                <m:sty m:val="p"/>
              </m:rPr>
              <w:rPr>
                <w:rFonts w:ascii="Cambria Math" w:hAnsi="Cambria Math"/>
              </w:rPr>
              <m:t xml:space="preserve"> − </m:t>
            </m:r>
            <m:rad>
              <m:radPr>
                <m:degHide m:val="1"/>
              </m:radPr>
              <m:deg/>
              <m:e>
                <m:r>
                  <m:rPr>
                    <m:sty m:val="p"/>
                  </m:rPr>
                  <w:rPr>
                    <w:rFonts w:ascii="Cambria Math" w:hAnsi="Cambria Math"/>
                  </w:rPr>
                  <m:t xml:space="preserve">1 − </m:t>
                </m:r>
                <m:sSub>
                  <m:e>
                    <m:acc>
                      <m:accPr>
                        <m:chr m:val="̅"/>
                      </m:accPr>
                      <m:e>
                        <m:r>
                          <w:rPr>
                            <w:rFonts w:ascii="Cambria Math" w:hAnsi="Cambria Math"/>
                          </w:rPr>
                          <m:t xml:space="preserve">α</m:t>
                        </m:r>
                      </m:e>
                    </m:acc>
                  </m:e>
                  <m:sub>
                    <m:r>
                      <w:rPr>
                        <w:rFonts w:ascii="Cambria Math" w:hAnsi="Cambria Math"/>
                      </w:rPr>
                      <m:t xml:space="preserve">t</m:t>
                    </m:r>
                  </m:sub>
                </m:sSub>
              </m:e>
            </m:rad>
            <m:sSub>
              <m:e>
                <m:r>
                  <w:rPr>
                    <w:rFonts w:ascii="Cambria Math" w:hAnsi="Cambria Math"/>
                  </w:rPr>
                  <m:t xml:space="preserve">ε</m:t>
                </m:r>
              </m:e>
              <m:sub>
                <m:r>
                  <w:rPr>
                    <w:rFonts w:ascii="Cambria Math" w:hAnsi="Cambria Math"/>
                  </w:rPr>
                  <m:t xml:space="preserve">θ</m:t>
                </m:r>
              </m:sub>
            </m:sSub>
            <m:d>
              <m:dPr>
                <m:begChr m:val="("/>
                <m:endChr m:val=")"/>
              </m:dPr>
              <m:e>
                <m:sSub>
                  <m:e>
                    <m:r>
                      <w:rPr>
                        <w:rFonts w:ascii="Cambria Math" w:hAnsi="Cambria Math"/>
                      </w:rPr>
                      <m:t xml:space="preserve">r</m:t>
                    </m:r>
                  </m:e>
                  <m:sub>
                    <m:r>
                      <w:rPr>
                        <w:rFonts w:ascii="Cambria Math" w:hAnsi="Cambria Math"/>
                      </w:rPr>
                      <m:t xml:space="preserve">t</m:t>
                    </m:r>
                  </m:sub>
                </m:sSub>
                <m:r>
                  <m:rPr>
                    <m:sty m:val="p"/>
                  </m:rPr>
                  <w:rPr>
                    <w:rFonts w:ascii="Cambria Math" w:hAnsi="Cambria Math"/>
                  </w:rPr>
                  <m:t xml:space="preserve">, </m:t>
                </m:r>
                <m:r>
                  <w:rPr>
                    <w:rFonts w:ascii="Cambria Math" w:hAnsi="Cambria Math"/>
                  </w:rPr>
                  <m:t xml:space="preserve">t</m:t>
                </m:r>
                <m:r>
                  <m:rPr>
                    <m:sty m:val="p"/>
                  </m:rPr>
                  <w:rPr>
                    <w:rFonts w:ascii="Cambria Math" w:hAnsi="Cambria Math"/>
                  </w:rPr>
                  <m:t xml:space="preserve">, </m:t>
                </m:r>
                <m:r>
                  <w:rPr>
                    <w:rFonts w:ascii="Cambria Math" w:hAnsi="Cambria Math"/>
                  </w:rPr>
                  <m:t xml:space="preserve">c</m:t>
                </m:r>
              </m:e>
            </m:d>
          </m:num>
          <m:den>
            <m:rad>
              <m:radPr>
                <m:degHide m:val="1"/>
              </m:radPr>
              <m:deg/>
              <m:e>
                <m:sSub>
                  <m:e>
                    <m:acc>
                      <m:accPr>
                        <m:chr m:val="̅"/>
                      </m:accPr>
                      <m:e>
                        <m:r>
                          <w:rPr>
                            <w:rFonts w:ascii="Cambria Math" w:hAnsi="Cambria Math"/>
                          </w:rPr>
                          <m:t xml:space="preserve">α</m:t>
                        </m:r>
                      </m:e>
                    </m:acc>
                  </m:e>
                  <m:sub>
                    <m:r>
                      <w:rPr>
                        <w:rFonts w:ascii="Cambria Math" w:hAnsi="Cambria Math"/>
                      </w:rPr>
                      <m:t xml:space="preserve">t</m:t>
                    </m:r>
                  </m:sub>
                </m:sSub>
              </m:e>
            </m:rad>
          </m:den>
        </m:f>
      </m:oMath>
      <w:r>
        <w:tab/>
        <w:t>(</w:t>
      </w:r>
      <w:fldSimple w:instr=" SEQ &quot;Equation&quot; \n \* MERGEFORMAT ">
        <w:r>
          <w:rPr>
            <w:noProof/>
          </w:rPr>
          <w:t>2</w:t>
        </w:r>
      </w:fldSimple>
      <w:r>
        <w:t>)</w:t>
      </w:r>
    </w:p>
    <w:p>
      <w:pPr>
        <w:pStyle w:val="p1a"/>
      </w:pPr>
      <w:r>
        <w:t xml:space="preserve">clamp it to [−1,1], map it back to image space as </w:t>
      </w:r>
      <w:r>
        <w:rPr>
          <w:i/>
        </w:rPr>
        <w:t xml:space="preserve">x</w:t>
      </w:r>
      <w:r>
        <w:t xml:space="preserve">̂</w:t>
      </w:r>
      <w:r>
        <w:rPr>
          <w:i/>
          <w:vertAlign w:val="subscript"/>
        </w:rPr>
        <w:t xml:space="preserve">HR</w:t>
      </w:r>
      <w:r>
        <w:t xml:space="preserve"> = </w:t>
      </w:r>
      <w:r>
        <w:rPr>
          <w:i/>
        </w:rPr>
        <w:t xml:space="preserve">r</w:t>
      </w:r>
      <w:r>
        <w:t xml:space="preserve">̂</w:t>
      </w:r>
      <w:r>
        <w:rPr>
          <w:vertAlign w:val="subscript"/>
        </w:rPr>
        <w:t xml:space="preserve">0</w:t>
      </w:r>
      <w:r>
        <w:t xml:space="preserve">/</w:t>
      </w:r>
      <w:r>
        <w:rPr>
          <w:i/>
        </w:rPr>
        <w:t xml:space="preserve">s</w:t>
      </w:r>
      <w:r>
        <w:t xml:space="preserve"> + </w:t>
      </w:r>
      <w:r>
        <w:rPr>
          <w:i/>
        </w:rPr>
        <w:t xml:space="preserve">x</w:t>
      </w:r>
      <w:r>
        <w:rPr>
          <w:i/>
          <w:vertAlign w:val="subscript"/>
        </w:rPr>
        <w:t xml:space="preserve">up</w:t>
      </w:r>
      <w:r>
        <w:t xml:space="preserve">, and compare pooled color statistics:</w:t>
      </w:r>
    </w:p>
    <w:p>
      <w:pPr>
        <w:pStyle w:val="equation"/>
      </w:pPr>
      <w:r>
        <w:tab/>
      </w:r>
      <m:oMath>
        <m:sSub>
          <m:e>
            <m:r>
              <w:rPr>
                <w:rFonts w:ascii="Cambria Math" w:hAnsi="Cambria Math"/>
              </w:rPr>
              <m:t xml:space="preserve">L</m:t>
            </m:r>
          </m:e>
          <m:sub>
            <m:r>
              <m:rPr>
                <m:sty m:val="p"/>
              </m:rPr>
              <w:rPr>
                <w:rFonts w:ascii="Cambria Math" w:hAnsi="Cambria Math"/>
              </w:rPr>
              <m:t xml:space="preserve">GCC</m:t>
            </m:r>
          </m:sub>
        </m:sSub>
        <m:r>
          <m:rPr>
            <m:sty m:val="p"/>
          </m:rPr>
          <w:rPr>
            <w:rFonts w:ascii="Cambria Math" w:hAnsi="Cambria Math"/>
          </w:rPr>
          <m:t xml:space="preserve"> = </m:t>
        </m:r>
        <m:sSubSup>
          <m:e>
            <m:d>
              <m:dPr>
                <m:begChr m:val="‖"/>
                <m:endChr m:val="‖"/>
              </m:dPr>
              <m:e>
                <m:sSub>
                  <m:e>
                    <m:r>
                      <w:rPr>
                        <w:rFonts w:ascii="Cambria Math" w:hAnsi="Cambria Math"/>
                      </w:rPr>
                      <m:t xml:space="preserve">P</m:t>
                    </m:r>
                  </m:e>
                  <m:sub>
                    <m:r>
                      <w:rPr>
                        <w:rFonts w:ascii="Cambria Math" w:hAnsi="Cambria Math"/>
                      </w:rPr>
                      <m:t xml:space="preserve">k</m:t>
                    </m:r>
                  </m:sub>
                </m:sSub>
                <m:d>
                  <m:dPr>
                    <m:begChr m:val="("/>
                    <m:endChr m:val=")"/>
                  </m:dPr>
                  <m:e>
                    <m:sSub>
                      <m:e>
                        <m:acc>
                          <m:accPr>
                            <m:chr m:val="̂"/>
                          </m:accPr>
                          <m:e>
                            <m:r>
                              <w:rPr>
                                <w:rFonts w:ascii="Cambria Math" w:hAnsi="Cambria Math"/>
                              </w:rPr>
                              <m:t xml:space="preserve">x</m:t>
                            </m:r>
                          </m:e>
                        </m:acc>
                      </m:e>
                      <m:sub>
                        <m:r>
                          <w:rPr>
                            <w:rFonts w:ascii="Cambria Math" w:hAnsi="Cambria Math"/>
                          </w:rPr>
                          <m:t xml:space="preserve">HR</m:t>
                        </m:r>
                      </m:sub>
                    </m:sSub>
                  </m:e>
                </m:d>
                <m:r>
                  <m:rPr>
                    <m:sty m:val="p"/>
                  </m:rPr>
                  <w:rPr>
                    <w:rFonts w:ascii="Cambria Math" w:hAnsi="Cambria Math"/>
                  </w:rPr>
                  <m:t xml:space="preserve"> − </m:t>
                </m:r>
                <m:sSub>
                  <m:e>
                    <m:r>
                      <w:rPr>
                        <w:rFonts w:ascii="Cambria Math" w:hAnsi="Cambria Math"/>
                      </w:rPr>
                      <m:t xml:space="preserve">P</m:t>
                    </m:r>
                  </m:e>
                  <m:sub>
                    <m:r>
                      <w:rPr>
                        <w:rFonts w:ascii="Cambria Math" w:hAnsi="Cambria Math"/>
                      </w:rPr>
                      <m:t xml:space="preserve">k</m:t>
                    </m:r>
                  </m:sub>
                </m:sSub>
                <m:d>
                  <m:dPr>
                    <m:begChr m:val="("/>
                    <m:endChr m:val=")"/>
                  </m:dPr>
                  <m:e>
                    <m:sSub>
                      <m:e>
                        <m:r>
                          <w:rPr>
                            <w:rFonts w:ascii="Cambria Math" w:hAnsi="Cambria Math"/>
                          </w:rPr>
                          <m:t xml:space="preserve">x</m:t>
                        </m:r>
                      </m:e>
                      <m:sub>
                        <m:r>
                          <w:rPr>
                            <w:rFonts w:ascii="Cambria Math" w:hAnsi="Cambria Math"/>
                          </w:rPr>
                          <m:t xml:space="preserve">HR</m:t>
                        </m:r>
                      </m:sub>
                    </m:sSub>
                  </m:e>
                </m:d>
              </m:e>
            </m:d>
          </m:e>
          <m:sub>
            <m:r>
              <m:rPr>
                <m:sty m:val="p"/>
              </m:rPr>
              <w:rPr>
                <w:rFonts w:ascii="Cambria Math" w:hAnsi="Cambria Math"/>
              </w:rPr>
              <m:t xml:space="preserve">2</m:t>
            </m:r>
          </m:sub>
          <m:sup>
            <m:r>
              <m:rPr>
                <m:sty m:val="p"/>
              </m:rPr>
              <w:rPr>
                <w:rFonts w:ascii="Cambria Math" w:hAnsi="Cambria Math"/>
              </w:rPr>
              <m:t xml:space="preserve">2</m:t>
            </m:r>
          </m:sup>
        </m:sSubSup>
      </m:oMath>
      <w:r>
        <w:tab/>
        <w:t>(</w:t>
      </w:r>
      <w:fldSimple w:instr=" SEQ &quot;Equation&quot; \n \* MERGEFORMAT ">
        <w:r>
          <w:rPr>
            <w:noProof/>
          </w:rPr>
          <w:t>3</w:t>
        </w:r>
      </w:fldSimple>
      <w:r>
        <w:t>)</w:t>
      </w:r>
    </w:p>
    <w:p>
      <w:pPr>
        <w:pStyle w:val="p1a"/>
      </w:pPr>
      <w:r>
        <w:t xml:space="preserve">and add it to the primary objective with a single weight λ:</w:t>
      </w:r>
    </w:p>
    <w:p>
      <w:pPr>
        <w:pStyle w:val="equation"/>
      </w:pPr>
      <w:r>
        <w:tab/>
      </w:r>
      <m:oMath>
        <m:r>
          <w:rPr>
            <w:rFonts w:ascii="Cambria Math" w:hAnsi="Cambria Math"/>
          </w:rPr>
          <m:t xml:space="preserve">L</m:t>
        </m:r>
        <m:r>
          <m:rPr>
            <m:sty m:val="p"/>
          </m:rPr>
          <w:rPr>
            <w:rFonts w:ascii="Cambria Math" w:hAnsi="Cambria Math"/>
          </w:rPr>
          <m:t xml:space="preserve"> = </m:t>
        </m:r>
        <m:sSub>
          <m:e>
            <m:r>
              <w:rPr>
                <w:rFonts w:ascii="Cambria Math" w:hAnsi="Cambria Math"/>
              </w:rPr>
              <m:t xml:space="preserve">L</m:t>
            </m:r>
          </m:e>
          <m:sub>
            <m:r>
              <m:rPr>
                <m:sty m:val="p"/>
              </m:rPr>
              <w:rPr>
                <w:rFonts w:ascii="Cambria Math" w:hAnsi="Cambria Math"/>
              </w:rPr>
              <m:t xml:space="preserve">DDPM</m:t>
            </m:r>
          </m:sub>
        </m:sSub>
        <m:r>
          <m:rPr>
            <m:sty m:val="p"/>
          </m:rPr>
          <w:rPr>
            <w:rFonts w:ascii="Cambria Math" w:hAnsi="Cambria Math"/>
          </w:rPr>
          <m:t xml:space="preserve"> + </m:t>
        </m:r>
        <m:r>
          <w:rPr>
            <w:rFonts w:ascii="Cambria Math" w:hAnsi="Cambria Math"/>
          </w:rPr>
          <m:t xml:space="preserve">λ</m:t>
        </m:r>
        <m:sSub>
          <m:e>
            <m:r>
              <w:rPr>
                <w:rFonts w:ascii="Cambria Math" w:hAnsi="Cambria Math"/>
              </w:rPr>
              <m:t xml:space="preserve">L</m:t>
            </m:r>
          </m:e>
          <m:sub>
            <m:r>
              <m:rPr>
                <m:sty m:val="p"/>
              </m:rPr>
              <w:rPr>
                <w:rFonts w:ascii="Cambria Math" w:hAnsi="Cambria Math"/>
              </w:rPr>
              <m:t xml:space="preserve">GCC</m:t>
            </m:r>
          </m:sub>
        </m:sSub>
      </m:oMath>
      <w:r>
        <w:tab/>
        <w:t>(</w:t>
      </w:r>
      <w:fldSimple w:instr=" SEQ &quot;Equation&quot; \n \* MERGEFORMAT ">
        <w:r>
          <w:rPr>
            <w:noProof/>
          </w:rPr>
          <w:t>4</w:t>
        </w:r>
      </w:fldSimple>
      <w:r>
        <w:t>)</w:t>
      </w:r>
    </w:p>
    <w:p>
      <w:pPr>
        <w:pStyle w:val="p1a"/>
      </w:pPr>
      <w:r>
        <w:t xml:space="preserve">with </w:t>
      </w:r>
      <w:r>
        <w:rPr>
          <w:i/>
        </w:rPr>
        <w:t xml:space="preserve">P</w:t>
      </w:r>
      <w:r>
        <w:rPr>
          <w:i/>
          <w:vertAlign w:val="subscript"/>
        </w:rPr>
        <w:t xml:space="preserve">k</w:t>
      </w:r>
      <w:r>
        <w:t xml:space="preserve"> adaptive average pooling to a </w:t>
      </w:r>
      <w:r>
        <w:rPr>
          <w:i/>
        </w:rPr>
        <w:t xml:space="preserve">k</w:t>
      </w:r>
      <w:r>
        <w:t xml:space="preserve"> × </w:t>
      </w:r>
      <w:r>
        <w:rPr>
          <w:i/>
        </w:rPr>
        <w:t xml:space="preserve">k</w:t>
      </w:r>
      <w:r>
        <w:t xml:space="preserve"> grid. Pooling is what makes Eq. 3 complementary rather than redundant: at </w:t>
      </w:r>
      <w:r>
        <w:rPr>
          <w:i/>
        </w:rPr>
        <w:t xml:space="preserve">k</w:t>
      </w:r>
      <w:r>
        <w:t xml:space="preserve">=8 it discards texture and edges, retaining only the spatial color balance that Eq. 1 leaves unconstrained.</w:t>
      </w:r>
    </w:p>
    <w:p>
      <w:pPr>
        <w:pStyle w:val="Normal"/>
      </w:pPr>
      <w:r>
        <w:t xml:space="preserve">Eq. 4 is the complete objective; the remainder of the training step is unchanged. Two implementation details are load-bearing. Eq. 2 must be evaluated in fp32: under a cosine schedule ᾱ</w:t>
      </w:r>
      <w:r>
        <w:rPr>
          <w:i/>
          <w:vertAlign w:val="subscript"/>
        </w:rPr>
        <w:t xml:space="preserve">t</w:t>
      </w:r>
      <w:r>
        <w:t xml:space="preserve"> reaches 2.4 × 10</w:t>
      </w:r>
      <w:r>
        <w:rPr>
          <w:vertAlign w:val="superscript"/>
        </w:rPr>
        <w:t xml:space="preserve">−7</w:t>
      </w:r>
      <w:r>
        <w:t xml:space="preserve"> at </w:t>
      </w:r>
      <w:r>
        <w:rPr>
          <w:i/>
        </w:rPr>
        <w:t xml:space="preserve">t</w:t>
      </w:r>
      <w:r>
        <w:t xml:space="preserve"> = </w:t>
      </w:r>
      <w:r>
        <w:rPr>
          <w:i/>
        </w:rPr>
        <w:t xml:space="preserve">T</w:t>
      </w:r>
      <w:r>
        <w:t xml:space="preserve">−1, so the reconstruction amplifies by ~2000× and overflows fp16 under mixed precision. And the clamp cannot be omitted—unclamped we measured </w:t>
      </w:r>
      <w:r>
        <w:rPr>
          <w:i/>
        </w:rPr>
        <w:t xml:space="preserve">L</w:t>
      </w:r>
      <w:r>
        <w:rPr>
          <w:vertAlign w:val="subscript"/>
        </w:rPr>
        <w:t xml:space="preserve">GCC</w:t>
      </w:r>
      <w:r>
        <w:t xml:space="preserve"> = 2.8 × 10</w:t>
      </w:r>
      <w:r>
        <w:rPr>
          <w:vertAlign w:val="superscript"/>
        </w:rPr>
        <w:t xml:space="preserve">4</w:t>
      </w:r>
      <w:r>
        <w:t xml:space="preserve"> at </w:t>
      </w:r>
      <w:r>
        <w:rPr>
          <w:i/>
        </w:rPr>
        <w:t xml:space="preserve">t</w:t>
      </w:r>
      <w:r>
        <w:t xml:space="preserve"> = </w:t>
      </w:r>
      <w:r>
        <w:rPr>
          <w:i/>
        </w:rPr>
        <w:t xml:space="preserve">T</w:t>
      </w:r>
      <w:r>
        <w:t xml:space="preserve">−1 against a DDPM loss of ~0.8, so with </w:t>
      </w:r>
      <w:r>
        <w:rPr>
          <w:i/>
        </w:rPr>
        <w:t xml:space="preserve">t</w:t>
      </w:r>
      <w:r>
        <w:t xml:space="preserve"> sampled uniformly roughly one step in a hundred would destabilise training. Sampling is untouched, so inference cost equals the baseline's.</w:t>
      </w:r>
    </w:p>
    <w:p>
      <w:pPr>
        <w:pStyle w:val="heading1"/>
      </w:pPr>
      <w:r>
        <w:t xml:space="preserve">Experiments</w:t>
      </w:r>
    </w:p>
    <w:p>
      <w:pPr>
        <w:pStyle w:val="heading 3"/>
      </w:pPr>
      <w:r>
        <w:rPr>
          <w:rStyle w:val="heading3"/>
          <w:b/>
        </w:rPr>
        <w:t xml:space="preserve">Setup.</w:t>
      </w:r>
      <w:r>
        <w:rPr>
          <w:rStyle w:val="heading3"/>
          <w:b/>
        </w:rPr>
        <w:t xml:space="preserve"> </w:t>
      </w:r>
      <w:r>
        <w:rPr>
          <w:b w:val="0"/>
        </w:rPr>
        <w:t xml:space="preserve">CelebA [17] subsampled to 3,000 training and 300 test images at 16 × 16 → 64 × 64 (4×). Stage 1 is an RRDB; Stage 2 a 2.28M-parameter UNet, </w:t>
      </w:r>
      <w:r>
        <w:rPr>
          <w:b w:val="0"/>
          <w:i/>
        </w:rPr>
        <w:t xml:space="preserve">T</w:t>
      </w:r>
      <w:r>
        <w:rPr>
          <w:b w:val="0"/>
        </w:rPr>
        <w:t xml:space="preserve">=100, cosine schedule, up to 20,000 steps with early stopping on PSNR. The two arms are identical in data, schedule, seed, initialisation and Stage-1 checkpoint, differing only in the GCC term. Early stopping monitors PSNR rather than color error, so model selection cannot favour the proposed arm.</w:t>
      </w:r>
    </w:p>
    <w:p>
      <w:pPr>
        <w:pStyle w:val="heading 3"/>
      </w:pPr>
      <w:r>
        <w:rPr>
          <w:rStyle w:val="heading3"/>
          <w:b/>
        </w:rPr>
        <w:t xml:space="preserve">Scope.</w:t>
      </w:r>
      <w:r>
        <w:rPr>
          <w:rStyle w:val="heading3"/>
          <w:b/>
        </w:rPr>
        <w:t xml:space="preserve"> </w:t>
      </w:r>
      <w:r>
        <w:rPr>
          <w:b w:val="0"/>
        </w:rPr>
        <w:t xml:space="preserve">Our baseline is SRDiff. ResDiff motivates this work but is not reimplemented—its FD Info Splitter, HF-guided cross-attention and FFT/DWT losses are absent here—so every comparison is SRDiff versus SRDiff plus GCC. Absolute values are therefore not comparable with published SRDiff, ResDiff or SR3 results, which use different tasks (64 → 256, 20 → 160, 40 → 160), full training sets and larger models; our FID is computed over 300 images, which biases it upward. We make no state-of-the-art claim.</w:t>
      </w:r>
    </w:p>
    <w:p>
      <w:pPr>
        <w:pStyle w:val="heading 3"/>
      </w:pPr>
      <w:r>
        <w:rPr>
          <w:rStyle w:val="heading3"/>
          <w:b/>
        </w:rPr>
        <w:t xml:space="preserve">Metrics.</w:t>
      </w:r>
      <w:r>
        <w:rPr>
          <w:rStyle w:val="heading3"/>
          <w:b/>
        </w:rPr>
        <w:t xml:space="preserve"> </w:t>
      </w:r>
      <w:r>
        <w:rPr>
          <w:b w:val="0"/>
        </w:rPr>
        <w:t xml:space="preserve">PSNR, SSIM [16], LPIPS [15] and FID [14], plus </w:t>
      </w:r>
      <w:r>
        <w:rPr>
          <w:b w:val="0"/>
          <w:i/>
        </w:rPr>
        <w:t xml:space="preserve">color error</w:t>
      </w:r>
      <w:r>
        <w:rPr>
          <w:b w:val="0"/>
        </w:rPr>
        <w:t xml:space="preserve">: the mean absolute difference between per-channel RGB means of the output and the ground truth, in 0–255 units. We also report LR-PSNR, which measures low-frequency fidelity and is thus the quantity GCC most directly targets. Evaluating one fixed checkpoint under four seeds gives an evaluation noise floor (std): PSNR 0.018, SSIM 0.0004, LPIPS 0.0005, LR-PSNR 0.009, color error 0.0022, FID 0.15.</w:t>
      </w:r>
    </w:p>
    <w:p>
      <w:pPr>
        <w:pStyle w:val="heading2"/>
      </w:pPr>
      <w:r>
        <w:t xml:space="preserve">Baseline Color Drift is Seed-Dependent</w:t>
      </w:r>
    </w:p>
    <w:p>
      <w:pPr>
        <w:pStyle w:val="p1a"/>
      </w:pPr>
      <w:r>
        <w:t xml:space="preserve">Table 1 is the paper's central result, and it concerns the baseline. Under configurations differing only in random seed, baseline color error ranges from 0.14 to 0.82—a sixfold spread, orders of magnitude beyond the 0.0022 evaluation noise floor. Under the evaluated configuration, whether substantial color drift occurs is therefore strongly influenced by the random training seed.</w:t>
      </w:r>
    </w:p>
    <w:p>
      <w:pPr>
        <w:pStyle w:val="Normal"/>
      </w:pPr>
      <w:r>
        <w:t xml:space="preserve">This carries a methodological consequence independent of our loss: a single-run comparison of any color-consistency method can overstate or understate its effect severalfold. Our own first run showed a −70.6% reduction and our third a +4.6% increase; reporting either alone would have been misleading.</w:t>
      </w:r>
    </w:p>
    <w:p>
      <w:pPr>
        <w:pStyle w:val="tablecaption"/>
      </w:pPr>
      <w:r>
        <w:rPr>
          <w:b/>
        </w:rPr>
        <w:t xml:space="preserve">Table </w:t>
      </w:r>
      <w:fldSimple w:instr=" SEQ &quot;Table&quot; \* MERGEFORMAT ">
        <w:r>
          <w:rPr>
            <w:b/>
            <w:noProof/>
          </w:rPr>
          <w:t>1</w:t>
        </w:r>
      </w:fldSimple>
      <w:r>
        <w:rPr>
          <w:b/>
        </w:rPr>
        <w:t>.</w:t>
      </w:r>
      <w:r>
        <w:t xml:space="preserve"> </w:t>
      </w:r>
      <w:r>
        <w:t xml:space="preserve">Color error across five paired experimental configurations spanning two datasets and an 8× range of training-set size. The baseline spans 0.14–0.82; CC-ResDiff stays within 0.15–0.26.</w:t>
      </w:r>
    </w:p>
    <w:tbl>
      <w:tblPr>
        <w:tblW w:w="6889" w:type="dxa"/>
        <w:jc w:val="center"/>
        <w:tblLayout w:type="fixed"/>
        <w:tblCellMar>
          <w:left w:w="70" w:type="dxa"/>
          <w:right w:w="70" w:type="dxa"/>
        </w:tblCellMar>
        <w:tblLook w:val="0000"/>
      </w:tblPr>
      <w:tblGrid>
        <w:gridCol w:w="2755"/>
        <w:gridCol w:w="1377"/>
        <w:gridCol w:w="1653"/>
        <w:gridCol w:w="1104"/>
      </w:tblGrid>
      <w:tr>
        <w:trPr>
          <w:jc w:val="center"/>
        </w:trPr>
        <w:tc>
          <w:tcPr>
            <w:tcW w:w="2755" w:type="dxa"/>
            <w:tcBorders>
              <w:top w:val="single" w:sz="12" w:space="0" w:color="000000"/>
              <w:bottom w:val="single" w:sz="6" w:space="0" w:color="000000"/>
            </w:tcBorders>
          </w:tcPr>
          <w:p>
            <w:pPr>
              <w:ind w:firstLine="0"/>
              <w:jc w:val="left"/>
              <w:rPr>
                <w:sz w:val="18"/>
                <w:szCs w:val="18"/>
              </w:rPr>
            </w:pPr>
            <w:r>
              <w:rPr>
                <w:sz w:val="18"/>
                <w:szCs w:val="18"/>
              </w:rPr>
              <w:t xml:space="preserve">Run </w:t>
            </w:r>
          </w:p>
        </w:tc>
        <w:tc>
          <w:tcPr>
            <w:tcW w:w="1377" w:type="dxa"/>
            <w:tcBorders>
              <w:top w:val="single" w:sz="12" w:space="0" w:color="000000"/>
              <w:bottom w:val="single" w:sz="6" w:space="0" w:color="000000"/>
            </w:tcBorders>
          </w:tcPr>
          <w:p>
            <w:pPr>
              <w:ind w:firstLine="0"/>
              <w:jc w:val="center"/>
              <w:rPr>
                <w:sz w:val="18"/>
                <w:szCs w:val="18"/>
              </w:rPr>
            </w:pPr>
            <w:r>
              <w:rPr>
                <w:sz w:val="18"/>
                <w:szCs w:val="18"/>
              </w:rPr>
              <w:t xml:space="preserve"> Baseline </w:t>
            </w:r>
          </w:p>
        </w:tc>
        <w:tc>
          <w:tcPr>
            <w:tcW w:w="1653" w:type="dxa"/>
            <w:tcBorders>
              <w:top w:val="single" w:sz="12" w:space="0" w:color="000000"/>
              <w:bottom w:val="single" w:sz="6" w:space="0" w:color="000000"/>
            </w:tcBorders>
          </w:tcPr>
          <w:p>
            <w:pPr>
              <w:ind w:firstLine="0"/>
              <w:jc w:val="center"/>
              <w:rPr>
                <w:sz w:val="18"/>
                <w:szCs w:val="18"/>
              </w:rPr>
            </w:pPr>
            <w:r>
              <w:rPr>
                <w:sz w:val="18"/>
                <w:szCs w:val="18"/>
              </w:rPr>
              <w:t xml:space="preserve"> CC-ResDiff </w:t>
            </w:r>
          </w:p>
        </w:tc>
        <w:tc>
          <w:tcPr>
            <w:tcW w:w="1104" w:type="dxa"/>
            <w:tcBorders>
              <w:top w:val="single" w:sz="12" w:space="0" w:color="000000"/>
              <w:bottom w:val="single" w:sz="6" w:space="0" w:color="000000"/>
            </w:tcBorders>
          </w:tcPr>
          <w:p>
            <w:pPr>
              <w:ind w:firstLine="0"/>
              <w:jc w:val="center"/>
              <w:rPr>
                <w:sz w:val="18"/>
                <w:szCs w:val="18"/>
              </w:rPr>
            </w:pPr>
            <w:r>
              <w:rPr>
                <w:sz w:val="18"/>
                <w:szCs w:val="18"/>
              </w:rPr>
              <w:t xml:space="preserve"> Change </w:t>
            </w:r>
          </w:p>
        </w:tc>
      </w:tr>
      <w:tr>
        <w:trPr>
          <w:jc w:val="center"/>
        </w:trPr>
        <w:tc>
          <w:tcPr>
            <w:tcW w:w="2755" w:type="dxa"/>
          </w:tcPr>
          <w:p>
            <w:pPr>
              <w:ind w:firstLine="0"/>
              <w:jc w:val="left"/>
              <w:rPr>
                <w:sz w:val="18"/>
                <w:szCs w:val="18"/>
              </w:rPr>
            </w:pPr>
            <w:r>
              <w:rPr>
                <w:sz w:val="18"/>
                <w:szCs w:val="18"/>
              </w:rPr>
              <w:t xml:space="preserve">CelebA 3k, seed A   </w:t>
            </w:r>
          </w:p>
        </w:tc>
        <w:tc>
          <w:tcPr>
            <w:tcW w:w="1377" w:type="dxa"/>
          </w:tcPr>
          <w:p>
            <w:pPr>
              <w:ind w:firstLine="0"/>
              <w:jc w:val="center"/>
              <w:rPr>
                <w:sz w:val="18"/>
                <w:szCs w:val="18"/>
              </w:rPr>
            </w:pPr>
            <w:r>
              <w:rPr>
                <w:sz w:val="18"/>
                <w:szCs w:val="18"/>
              </w:rPr>
              <w:t xml:space="preserve"> 0.8234 </w:t>
            </w:r>
          </w:p>
        </w:tc>
        <w:tc>
          <w:tcPr>
            <w:tcW w:w="1653" w:type="dxa"/>
          </w:tcPr>
          <w:p>
            <w:pPr>
              <w:ind w:firstLine="0"/>
              <w:jc w:val="center"/>
              <w:rPr>
                <w:sz w:val="18"/>
                <w:szCs w:val="18"/>
              </w:rPr>
            </w:pPr>
            <w:r>
              <w:rPr>
                <w:sz w:val="18"/>
                <w:szCs w:val="18"/>
              </w:rPr>
              <w:t xml:space="preserve"> 0.2423 </w:t>
            </w:r>
          </w:p>
        </w:tc>
        <w:tc>
          <w:tcPr>
            <w:tcW w:w="1104" w:type="dxa"/>
          </w:tcPr>
          <w:p>
            <w:pPr>
              <w:ind w:firstLine="0"/>
              <w:jc w:val="center"/>
              <w:rPr>
                <w:sz w:val="18"/>
                <w:szCs w:val="18"/>
              </w:rPr>
            </w:pPr>
            <w:r>
              <w:rPr>
                <w:sz w:val="18"/>
                <w:szCs w:val="18"/>
              </w:rPr>
              <w:t xml:space="preserve"> −70.6% </w:t>
            </w:r>
          </w:p>
        </w:tc>
      </w:tr>
      <w:tr>
        <w:trPr>
          <w:jc w:val="center"/>
        </w:trPr>
        <w:tc>
          <w:tcPr>
            <w:tcW w:w="2755" w:type="dxa"/>
          </w:tcPr>
          <w:p>
            <w:pPr>
              <w:ind w:firstLine="0"/>
              <w:jc w:val="left"/>
              <w:rPr>
                <w:sz w:val="18"/>
                <w:szCs w:val="18"/>
              </w:rPr>
            </w:pPr>
            <w:r>
              <w:rPr>
                <w:sz w:val="18"/>
                <w:szCs w:val="18"/>
              </w:rPr>
              <w:t xml:space="preserve">CelebA 3k, seed B   </w:t>
            </w:r>
          </w:p>
        </w:tc>
        <w:tc>
          <w:tcPr>
            <w:tcW w:w="1377" w:type="dxa"/>
          </w:tcPr>
          <w:p>
            <w:pPr>
              <w:ind w:firstLine="0"/>
              <w:jc w:val="center"/>
              <w:rPr>
                <w:sz w:val="18"/>
                <w:szCs w:val="18"/>
              </w:rPr>
            </w:pPr>
            <w:r>
              <w:rPr>
                <w:sz w:val="18"/>
                <w:szCs w:val="18"/>
              </w:rPr>
              <w:t xml:space="preserve"> 0.3878 </w:t>
            </w:r>
          </w:p>
        </w:tc>
        <w:tc>
          <w:tcPr>
            <w:tcW w:w="1653" w:type="dxa"/>
          </w:tcPr>
          <w:p>
            <w:pPr>
              <w:ind w:firstLine="0"/>
              <w:jc w:val="center"/>
              <w:rPr>
                <w:sz w:val="18"/>
                <w:szCs w:val="18"/>
              </w:rPr>
            </w:pPr>
            <w:r>
              <w:rPr>
                <w:sz w:val="18"/>
                <w:szCs w:val="18"/>
              </w:rPr>
              <w:t xml:space="preserve"> 0.2061 </w:t>
            </w:r>
          </w:p>
        </w:tc>
        <w:tc>
          <w:tcPr>
            <w:tcW w:w="1104" w:type="dxa"/>
          </w:tcPr>
          <w:p>
            <w:pPr>
              <w:ind w:firstLine="0"/>
              <w:jc w:val="center"/>
              <w:rPr>
                <w:sz w:val="18"/>
                <w:szCs w:val="18"/>
              </w:rPr>
            </w:pPr>
            <w:r>
              <w:rPr>
                <w:sz w:val="18"/>
                <w:szCs w:val="18"/>
              </w:rPr>
              <w:t xml:space="preserve"> −46.9% </w:t>
            </w:r>
          </w:p>
        </w:tc>
      </w:tr>
      <w:tr>
        <w:trPr>
          <w:jc w:val="center"/>
        </w:trPr>
        <w:tc>
          <w:tcPr>
            <w:tcW w:w="2755" w:type="dxa"/>
          </w:tcPr>
          <w:p>
            <w:pPr>
              <w:ind w:firstLine="0"/>
              <w:jc w:val="left"/>
              <w:rPr>
                <w:sz w:val="18"/>
                <w:szCs w:val="18"/>
              </w:rPr>
            </w:pPr>
            <w:r>
              <w:rPr>
                <w:sz w:val="18"/>
                <w:szCs w:val="18"/>
              </w:rPr>
              <w:t xml:space="preserve">CelebA 3k, seed C   </w:t>
            </w:r>
          </w:p>
        </w:tc>
        <w:tc>
          <w:tcPr>
            <w:tcW w:w="1377" w:type="dxa"/>
          </w:tcPr>
          <w:p>
            <w:pPr>
              <w:ind w:firstLine="0"/>
              <w:jc w:val="center"/>
              <w:rPr>
                <w:sz w:val="18"/>
                <w:szCs w:val="18"/>
              </w:rPr>
            </w:pPr>
            <w:r>
              <w:rPr>
                <w:sz w:val="18"/>
                <w:szCs w:val="18"/>
              </w:rPr>
              <w:t xml:space="preserve"> 0.1397 </w:t>
            </w:r>
          </w:p>
        </w:tc>
        <w:tc>
          <w:tcPr>
            <w:tcW w:w="1653" w:type="dxa"/>
          </w:tcPr>
          <w:p>
            <w:pPr>
              <w:ind w:firstLine="0"/>
              <w:jc w:val="center"/>
              <w:rPr>
                <w:sz w:val="18"/>
                <w:szCs w:val="18"/>
              </w:rPr>
            </w:pPr>
            <w:r>
              <w:rPr>
                <w:sz w:val="18"/>
                <w:szCs w:val="18"/>
              </w:rPr>
              <w:t xml:space="preserve"> 0.1461 </w:t>
            </w:r>
          </w:p>
        </w:tc>
        <w:tc>
          <w:tcPr>
            <w:tcW w:w="1104" w:type="dxa"/>
          </w:tcPr>
          <w:p>
            <w:pPr>
              <w:ind w:firstLine="0"/>
              <w:jc w:val="center"/>
              <w:rPr>
                <w:sz w:val="18"/>
                <w:szCs w:val="18"/>
              </w:rPr>
            </w:pPr>
            <w:r>
              <w:rPr>
                <w:sz w:val="18"/>
                <w:szCs w:val="18"/>
              </w:rPr>
              <w:t xml:space="preserve"> +4.6% </w:t>
            </w:r>
          </w:p>
        </w:tc>
      </w:tr>
      <w:tr>
        <w:trPr>
          <w:jc w:val="center"/>
        </w:trPr>
        <w:tc>
          <w:tcPr>
            <w:tcW w:w="2755" w:type="dxa"/>
          </w:tcPr>
          <w:p>
            <w:pPr>
              <w:ind w:firstLine="0"/>
              <w:jc w:val="left"/>
              <w:rPr>
                <w:sz w:val="18"/>
                <w:szCs w:val="18"/>
              </w:rPr>
            </w:pPr>
            <w:r>
              <w:rPr>
                <w:sz w:val="18"/>
                <w:szCs w:val="18"/>
              </w:rPr>
              <w:t xml:space="preserve">CelebA 25k          </w:t>
            </w:r>
          </w:p>
        </w:tc>
        <w:tc>
          <w:tcPr>
            <w:tcW w:w="1377" w:type="dxa"/>
          </w:tcPr>
          <w:p>
            <w:pPr>
              <w:ind w:firstLine="0"/>
              <w:jc w:val="center"/>
              <w:rPr>
                <w:sz w:val="18"/>
                <w:szCs w:val="18"/>
              </w:rPr>
            </w:pPr>
            <w:r>
              <w:rPr>
                <w:sz w:val="18"/>
                <w:szCs w:val="18"/>
              </w:rPr>
              <w:t xml:space="preserve"> 0.2948 </w:t>
            </w:r>
          </w:p>
        </w:tc>
        <w:tc>
          <w:tcPr>
            <w:tcW w:w="1653" w:type="dxa"/>
          </w:tcPr>
          <w:p>
            <w:pPr>
              <w:ind w:firstLine="0"/>
              <w:jc w:val="center"/>
              <w:rPr>
                <w:sz w:val="18"/>
                <w:szCs w:val="18"/>
              </w:rPr>
            </w:pPr>
            <w:r>
              <w:rPr>
                <w:sz w:val="18"/>
                <w:szCs w:val="18"/>
              </w:rPr>
              <w:t xml:space="preserve"> 0.2555 </w:t>
            </w:r>
          </w:p>
        </w:tc>
        <w:tc>
          <w:tcPr>
            <w:tcW w:w="1104" w:type="dxa"/>
          </w:tcPr>
          <w:p>
            <w:pPr>
              <w:ind w:firstLine="0"/>
              <w:jc w:val="center"/>
              <w:rPr>
                <w:sz w:val="18"/>
                <w:szCs w:val="18"/>
              </w:rPr>
            </w:pPr>
            <w:r>
              <w:rPr>
                <w:sz w:val="18"/>
                <w:szCs w:val="18"/>
              </w:rPr>
              <w:t xml:space="preserve"> −13.3% </w:t>
            </w:r>
          </w:p>
        </w:tc>
      </w:tr>
      <w:tr>
        <w:trPr>
          <w:jc w:val="center"/>
        </w:trPr>
        <w:tc>
          <w:tcPr>
            <w:tcW w:w="2755" w:type="dxa"/>
            <w:tcBorders>
              <w:bottom w:val="single" w:sz="6" w:space="0" w:color="000000"/>
            </w:tcBorders>
          </w:tcPr>
          <w:p>
            <w:pPr>
              <w:ind w:firstLine="0"/>
              <w:jc w:val="left"/>
              <w:rPr>
                <w:sz w:val="18"/>
                <w:szCs w:val="18"/>
              </w:rPr>
            </w:pPr>
            <w:r>
              <w:rPr>
                <w:sz w:val="18"/>
                <w:szCs w:val="18"/>
              </w:rPr>
              <w:t xml:space="preserve">DIV2K               </w:t>
            </w:r>
          </w:p>
        </w:tc>
        <w:tc>
          <w:tcPr>
            <w:tcW w:w="1377" w:type="dxa"/>
            <w:tcBorders>
              <w:bottom w:val="single" w:sz="6" w:space="0" w:color="000000"/>
            </w:tcBorders>
          </w:tcPr>
          <w:p>
            <w:pPr>
              <w:ind w:firstLine="0"/>
              <w:jc w:val="center"/>
              <w:rPr>
                <w:sz w:val="18"/>
                <w:szCs w:val="18"/>
              </w:rPr>
            </w:pPr>
            <w:r>
              <w:rPr>
                <w:sz w:val="18"/>
                <w:szCs w:val="18"/>
              </w:rPr>
              <w:t xml:space="preserve"> 0.1650 </w:t>
            </w:r>
          </w:p>
        </w:tc>
        <w:tc>
          <w:tcPr>
            <w:tcW w:w="1653" w:type="dxa"/>
            <w:tcBorders>
              <w:bottom w:val="single" w:sz="6" w:space="0" w:color="000000"/>
            </w:tcBorders>
          </w:tcPr>
          <w:p>
            <w:pPr>
              <w:ind w:firstLine="0"/>
              <w:jc w:val="center"/>
              <w:rPr>
                <w:sz w:val="18"/>
                <w:szCs w:val="18"/>
              </w:rPr>
            </w:pPr>
            <w:r>
              <w:rPr>
                <w:sz w:val="18"/>
                <w:szCs w:val="18"/>
              </w:rPr>
              <w:t xml:space="preserve"> 0.2036 </w:t>
            </w:r>
          </w:p>
        </w:tc>
        <w:tc>
          <w:tcPr>
            <w:tcW w:w="1104" w:type="dxa"/>
            <w:tcBorders>
              <w:bottom w:val="single" w:sz="6" w:space="0" w:color="000000"/>
            </w:tcBorders>
          </w:tcPr>
          <w:p>
            <w:pPr>
              <w:ind w:firstLine="0"/>
              <w:jc w:val="center"/>
              <w:rPr>
                <w:sz w:val="18"/>
                <w:szCs w:val="18"/>
              </w:rPr>
            </w:pPr>
            <w:r>
              <w:rPr>
                <w:sz w:val="18"/>
                <w:szCs w:val="18"/>
              </w:rPr>
              <w:t xml:space="preserve"> +23.4% </w:t>
            </w:r>
          </w:p>
        </w:tc>
      </w:tr>
      <w:tr>
        <w:trPr>
          <w:jc w:val="center"/>
        </w:trPr>
        <w:tc>
          <w:tcPr>
            <w:tcW w:w="2755" w:type="dxa"/>
          </w:tcPr>
          <w:p>
            <w:pPr>
              <w:ind w:firstLine="0"/>
              <w:jc w:val="left"/>
              <w:rPr>
                <w:sz w:val="18"/>
                <w:szCs w:val="18"/>
              </w:rPr>
            </w:pPr>
            <w:r>
              <w:rPr>
                <w:sz w:val="18"/>
                <w:szCs w:val="18"/>
                <w:i/>
              </w:rPr>
              <w:t xml:space="preserve">std across runs</w:t>
            </w:r>
            <w:r>
              <w:rPr>
                <w:sz w:val="18"/>
                <w:szCs w:val="18"/>
              </w:rPr>
              <w:t xml:space="preserve"> </w:t>
            </w:r>
          </w:p>
        </w:tc>
        <w:tc>
          <w:tcPr>
            <w:tcW w:w="1377" w:type="dxa"/>
          </w:tcPr>
          <w:p>
            <w:pPr>
              <w:ind w:firstLine="0"/>
              <w:jc w:val="center"/>
              <w:rPr>
                <w:sz w:val="18"/>
                <w:szCs w:val="18"/>
              </w:rPr>
            </w:pPr>
            <w:r>
              <w:rPr>
                <w:sz w:val="18"/>
                <w:szCs w:val="18"/>
              </w:rPr>
              <w:t xml:space="preserve"> </w:t>
            </w:r>
            <w:r>
              <w:rPr>
                <w:sz w:val="18"/>
                <w:szCs w:val="18"/>
                <w:i/>
              </w:rPr>
              <w:t xml:space="preserve">0.2767</w:t>
            </w:r>
            <w:r>
              <w:rPr>
                <w:sz w:val="18"/>
                <w:szCs w:val="18"/>
              </w:rPr>
              <w:t xml:space="preserve"> </w:t>
            </w:r>
          </w:p>
        </w:tc>
        <w:tc>
          <w:tcPr>
            <w:tcW w:w="1653" w:type="dxa"/>
          </w:tcPr>
          <w:p>
            <w:pPr>
              <w:ind w:firstLine="0"/>
              <w:jc w:val="center"/>
              <w:rPr>
                <w:sz w:val="18"/>
                <w:szCs w:val="18"/>
              </w:rPr>
            </w:pPr>
            <w:r>
              <w:rPr>
                <w:sz w:val="18"/>
                <w:szCs w:val="18"/>
              </w:rPr>
              <w:t xml:space="preserve"> </w:t>
            </w:r>
            <w:r>
              <w:rPr>
                <w:sz w:val="18"/>
                <w:szCs w:val="18"/>
                <w:i/>
              </w:rPr>
              <w:t xml:space="preserve">0.0426</w:t>
            </w:r>
            <w:r>
              <w:rPr>
                <w:sz w:val="18"/>
                <w:szCs w:val="18"/>
              </w:rPr>
              <w:t xml:space="preserve"> </w:t>
            </w:r>
          </w:p>
        </w:tc>
        <w:tc>
          <w:tcPr>
            <w:tcW w:w="1104" w:type="dxa"/>
          </w:tcPr>
          <w:p>
            <w:pPr>
              <w:ind w:firstLine="0"/>
              <w:jc w:val="center"/>
              <w:rPr>
                <w:sz w:val="18"/>
                <w:szCs w:val="18"/>
              </w:rPr>
            </w:pPr>
            <w:r>
              <w:rPr>
                <w:sz w:val="18"/>
                <w:szCs w:val="18"/>
              </w:rPr>
              <w:t xml:space="preserve"> </w:t>
            </w:r>
          </w:p>
        </w:tc>
      </w:tr>
      <w:tr>
        <w:trPr>
          <w:jc w:val="center"/>
        </w:trPr>
        <w:tc>
          <w:tcPr>
            <w:tcW w:w="2755" w:type="dxa"/>
            <w:tcBorders>
              <w:bottom w:val="single" w:sz="12" w:space="0" w:color="000000"/>
            </w:tcBorders>
          </w:tcPr>
          <w:p>
            <w:pPr>
              <w:ind w:firstLine="0"/>
              <w:jc w:val="left"/>
              <w:rPr>
                <w:sz w:val="18"/>
                <w:szCs w:val="18"/>
              </w:rPr>
            </w:pPr>
            <w:r>
              <w:rPr>
                <w:sz w:val="18"/>
                <w:szCs w:val="18"/>
                <w:i/>
              </w:rPr>
              <w:t xml:space="preserve">range</w:t>
            </w:r>
            <w:r>
              <w:rPr>
                <w:sz w:val="18"/>
                <w:szCs w:val="18"/>
              </w:rPr>
              <w:t xml:space="preserve">           </w:t>
            </w:r>
          </w:p>
        </w:tc>
        <w:tc>
          <w:tcPr>
            <w:tcW w:w="1377" w:type="dxa"/>
            <w:tcBorders>
              <w:bottom w:val="single" w:sz="12" w:space="0" w:color="000000"/>
            </w:tcBorders>
          </w:tcPr>
          <w:p>
            <w:pPr>
              <w:ind w:firstLine="0"/>
              <w:jc w:val="center"/>
              <w:rPr>
                <w:sz w:val="18"/>
                <w:szCs w:val="18"/>
              </w:rPr>
            </w:pPr>
            <w:r>
              <w:rPr>
                <w:sz w:val="18"/>
                <w:szCs w:val="18"/>
              </w:rPr>
              <w:t xml:space="preserve"> </w:t>
            </w:r>
            <w:r>
              <w:rPr>
                <w:sz w:val="18"/>
                <w:szCs w:val="18"/>
                <w:i/>
              </w:rPr>
              <w:t xml:space="preserve">0.684</w:t>
            </w:r>
            <w:r>
              <w:rPr>
                <w:sz w:val="18"/>
                <w:szCs w:val="18"/>
              </w:rPr>
              <w:t xml:space="preserve">  </w:t>
            </w:r>
          </w:p>
        </w:tc>
        <w:tc>
          <w:tcPr>
            <w:tcW w:w="1653" w:type="dxa"/>
            <w:tcBorders>
              <w:bottom w:val="single" w:sz="12" w:space="0" w:color="000000"/>
            </w:tcBorders>
          </w:tcPr>
          <w:p>
            <w:pPr>
              <w:ind w:firstLine="0"/>
              <w:jc w:val="center"/>
              <w:rPr>
                <w:sz w:val="18"/>
                <w:szCs w:val="18"/>
              </w:rPr>
            </w:pPr>
            <w:r>
              <w:rPr>
                <w:sz w:val="18"/>
                <w:szCs w:val="18"/>
              </w:rPr>
              <w:t xml:space="preserve"> </w:t>
            </w:r>
            <w:r>
              <w:rPr>
                <w:sz w:val="18"/>
                <w:szCs w:val="18"/>
                <w:i/>
              </w:rPr>
              <w:t xml:space="preserve">0.109</w:t>
            </w:r>
            <w:r>
              <w:rPr>
                <w:sz w:val="18"/>
                <w:szCs w:val="18"/>
              </w:rPr>
              <w:t xml:space="preserve">  </w:t>
            </w:r>
          </w:p>
        </w:tc>
        <w:tc>
          <w:tcPr>
            <w:tcW w:w="1104" w:type="dxa"/>
            <w:tcBorders>
              <w:bottom w:val="single" w:sz="12" w:space="0" w:color="000000"/>
            </w:tcBorders>
          </w:tcPr>
          <w:p>
            <w:pPr>
              <w:ind w:firstLine="0"/>
              <w:jc w:val="center"/>
              <w:rPr>
                <w:sz w:val="18"/>
                <w:szCs w:val="18"/>
              </w:rPr>
            </w:pPr>
            <w:r>
              <w:rPr>
                <w:sz w:val="18"/>
                <w:szCs w:val="18"/>
              </w:rPr>
              <w:t xml:space="preserve"> </w:t>
            </w:r>
          </w:p>
        </w:tc>
      </w:tr>
    </w:tbl>
    <w:p>
      <w:pPr>
        <w:pStyle w:val="p1a"/>
      </w:pPr>
      <w:r>
        <w:t xml:space="preserve">Against that variability the GCC loss acts as a stabiliser: its color error falls within 0.15–0.26 in every configuration, with a 6.5× smaller standard deviation and a 6.2× narrower range. We describe this as </w:t>
      </w:r>
      <w:r>
        <w:rPr>
          <w:i/>
        </w:rPr>
        <w:t xml:space="preserve">bounding</w:t>
      </w:r>
      <w:r>
        <w:t xml:space="preserve"> color drift rather than reducing it, and are deliberate about the strength of the claim: the three-seed CelebA experiment is the only replicated evidence here—the 25k and DIV2K tiers are single runs—so these five configurations establish a consistent stabilising effect in our experiments rather than a formal guarantee. The benefit on any given run is governed by how far its baseline sits outside CC-ResDiff's band, which is why one mechanism produces both the −70.6% run and the DIV2K increase.</w:t>
      </w:r>
    </w:p>
    <w:p>
      <w:pPr>
        <w:pStyle w:val="Normal"/>
      </w:pPr>
      <w:r>
        <w:t xml:space="preserve">We deliberately omit one tempting statistic. The correlation between a run's baseline color error and the improvement obtained is </w:t>
      </w:r>
      <w:r>
        <w:rPr>
          <w:i/>
        </w:rPr>
        <w:t xml:space="preserve">r</w:t>
      </w:r>
      <w:r>
        <w:t xml:space="preserve"> = 0.997, but improvement is defined as </w:t>
      </w:r>
      <w:r>
        <w:rPr>
          <w:i/>
        </w:rPr>
        <w:t xml:space="preserve">c</w:t>
      </w:r>
      <w:r>
        <w:rPr>
          <w:vertAlign w:val="subscript"/>
        </w:rPr>
        <w:t xml:space="preserve">CC</w:t>
      </w:r>
      <w:r>
        <w:t xml:space="preserve"> − </w:t>
      </w:r>
      <w:r>
        <w:rPr>
          <w:i/>
        </w:rPr>
        <w:t xml:space="preserve">c</w:t>
      </w:r>
      <w:r>
        <w:rPr>
          <w:vertAlign w:val="subscript"/>
        </w:rPr>
        <w:t xml:space="preserve">base</w:t>
      </w:r>
      <w:r>
        <w:t xml:space="preserve">, so the baseline appears on both sides and the correlation is mechanically induced—it would be near unity even for random output. The variance comparison in Table 1 carries the same content without that coupling.</w:t>
      </w:r>
    </w:p>
    <w:p>
      <w:pPr>
        <w:pStyle w:val="heading2"/>
      </w:pPr>
      <w:r>
        <w:t xml:space="preserve">Aggregate Results and the FID Trade-off</w:t>
      </w:r>
    </w:p>
    <w:p>
      <w:pPr>
        <w:pStyle w:val="p1a"/>
      </w:pPr>
      <w:r>
        <w:t xml:space="preserve">Table 2 reports all metrics over three CelebA seeds. Only color error and FID differ by more than their across-seed spread. In particular, the −0.13 dB PSNR cost visible in our first run did not replicate: at </w:t>
      </w:r>
      <w:r>
        <w:rPr>
          <w:i/>
        </w:rPr>
        <w:t xml:space="preserve">n</w:t>
      </w:r>
      <w:r>
        <w:t xml:space="preserve">=3 the mean is −0.002 dB, and the apparent cost was seed noise.</w:t>
      </w:r>
    </w:p>
    <w:p>
      <w:pPr>
        <w:pStyle w:val="tablecaption"/>
      </w:pPr>
      <w:r>
        <w:rPr>
          <w:b/>
        </w:rPr>
        <w:t xml:space="preserve">Table </w:t>
      </w:r>
      <w:fldSimple w:instr=" SEQ &quot;Table&quot; \* MERGEFORMAT ">
        <w:r>
          <w:rPr>
            <w:b/>
            <w:noProof/>
          </w:rPr>
          <w:t>2</w:t>
        </w:r>
      </w:fldSimple>
      <w:r>
        <w:rPr>
          <w:b/>
        </w:rPr>
        <w:t>.</w:t>
      </w:r>
      <w:r>
        <w:t xml:space="preserve"> </w:t>
      </w:r>
      <w:r>
        <w:t xml:space="preserve">CelebA 4×, mean ± std over three training runs. Note the standard deviations: the baseline's color error varies by an order of magnitude more than CC-ResDiff's.</w:t>
      </w:r>
    </w:p>
    <w:tbl>
      <w:tblPr>
        <w:tblW w:w="6889" w:type="dxa"/>
        <w:jc w:val="center"/>
        <w:tblLayout w:type="fixed"/>
        <w:tblCellMar>
          <w:left w:w="70" w:type="dxa"/>
          <w:right w:w="70" w:type="dxa"/>
        </w:tblCellMar>
        <w:tblLook w:val="0000"/>
      </w:tblPr>
      <w:tblGrid>
        <w:gridCol w:w="1868"/>
        <w:gridCol w:w="1984"/>
        <w:gridCol w:w="1984"/>
        <w:gridCol w:w="1053"/>
      </w:tblGrid>
      <w:tr>
        <w:trPr>
          <w:jc w:val="center"/>
        </w:trPr>
        <w:tc>
          <w:tcPr>
            <w:tcW w:w="1868" w:type="dxa"/>
            <w:tcBorders>
              <w:top w:val="single" w:sz="12" w:space="0" w:color="000000"/>
              <w:bottom w:val="single" w:sz="6" w:space="0" w:color="000000"/>
            </w:tcBorders>
          </w:tcPr>
          <w:p>
            <w:pPr>
              <w:ind w:firstLine="0"/>
              <w:jc w:val="left"/>
              <w:rPr>
                <w:sz w:val="18"/>
                <w:szCs w:val="18"/>
              </w:rPr>
            </w:pPr>
            <w:r>
              <w:rPr>
                <w:sz w:val="18"/>
                <w:szCs w:val="18"/>
              </w:rPr>
              <w:t xml:space="preserve">Metric </w:t>
            </w:r>
          </w:p>
        </w:tc>
        <w:tc>
          <w:tcPr>
            <w:tcW w:w="1984" w:type="dxa"/>
            <w:tcBorders>
              <w:top w:val="single" w:sz="12" w:space="0" w:color="000000"/>
              <w:bottom w:val="single" w:sz="6" w:space="0" w:color="000000"/>
            </w:tcBorders>
          </w:tcPr>
          <w:p>
            <w:pPr>
              <w:ind w:firstLine="0"/>
              <w:jc w:val="center"/>
              <w:rPr>
                <w:sz w:val="18"/>
                <w:szCs w:val="18"/>
              </w:rPr>
            </w:pPr>
            <w:r>
              <w:rPr>
                <w:sz w:val="18"/>
                <w:szCs w:val="18"/>
              </w:rPr>
              <w:t xml:space="preserve"> Baseline </w:t>
            </w:r>
          </w:p>
        </w:tc>
        <w:tc>
          <w:tcPr>
            <w:tcW w:w="1984" w:type="dxa"/>
            <w:tcBorders>
              <w:top w:val="single" w:sz="12" w:space="0" w:color="000000"/>
              <w:bottom w:val="single" w:sz="6" w:space="0" w:color="000000"/>
            </w:tcBorders>
          </w:tcPr>
          <w:p>
            <w:pPr>
              <w:ind w:firstLine="0"/>
              <w:jc w:val="center"/>
              <w:rPr>
                <w:sz w:val="18"/>
                <w:szCs w:val="18"/>
              </w:rPr>
            </w:pPr>
            <w:r>
              <w:rPr>
                <w:sz w:val="18"/>
                <w:szCs w:val="18"/>
              </w:rPr>
              <w:t xml:space="preserve"> CC-ResDiff </w:t>
            </w:r>
          </w:p>
        </w:tc>
        <w:tc>
          <w:tcPr>
            <w:tcW w:w="1053" w:type="dxa"/>
            <w:tcBorders>
              <w:top w:val="single" w:sz="12" w:space="0" w:color="000000"/>
              <w:bottom w:val="single" w:sz="6" w:space="0" w:color="000000"/>
            </w:tcBorders>
          </w:tcPr>
          <w:p>
            <w:pPr>
              <w:ind w:firstLine="0"/>
              <w:jc w:val="center"/>
              <w:rPr>
                <w:sz w:val="18"/>
                <w:szCs w:val="18"/>
              </w:rPr>
            </w:pPr>
            <w:r>
              <w:rPr>
                <w:sz w:val="18"/>
                <w:szCs w:val="18"/>
              </w:rPr>
              <w:t xml:space="preserve"> Δ </w:t>
            </w:r>
          </w:p>
        </w:tc>
      </w:tr>
      <w:tr>
        <w:trPr>
          <w:jc w:val="center"/>
        </w:trPr>
        <w:tc>
          <w:tcPr>
            <w:tcW w:w="1868" w:type="dxa"/>
          </w:tcPr>
          <w:p>
            <w:pPr>
              <w:ind w:firstLine="0"/>
              <w:jc w:val="left"/>
              <w:rPr>
                <w:sz w:val="18"/>
                <w:szCs w:val="18"/>
              </w:rPr>
            </w:pPr>
            <w:r>
              <w:rPr>
                <w:sz w:val="18"/>
                <w:szCs w:val="18"/>
              </w:rPr>
              <w:t xml:space="preserve">Color error ↓ </w:t>
            </w:r>
          </w:p>
        </w:tc>
        <w:tc>
          <w:tcPr>
            <w:tcW w:w="1984" w:type="dxa"/>
          </w:tcPr>
          <w:p>
            <w:pPr>
              <w:ind w:firstLine="0"/>
              <w:jc w:val="center"/>
              <w:rPr>
                <w:sz w:val="18"/>
                <w:szCs w:val="18"/>
              </w:rPr>
            </w:pPr>
            <w:r>
              <w:rPr>
                <w:sz w:val="18"/>
                <w:szCs w:val="18"/>
              </w:rPr>
              <w:t xml:space="preserve"> 0.4494 ± 0.3446 </w:t>
            </w:r>
          </w:p>
        </w:tc>
        <w:tc>
          <w:tcPr>
            <w:tcW w:w="1984" w:type="dxa"/>
          </w:tcPr>
          <w:p>
            <w:pPr>
              <w:ind w:firstLine="0"/>
              <w:jc w:val="center"/>
              <w:rPr>
                <w:sz w:val="18"/>
                <w:szCs w:val="18"/>
              </w:rPr>
            </w:pPr>
            <w:r>
              <w:rPr>
                <w:sz w:val="18"/>
                <w:szCs w:val="18"/>
              </w:rPr>
              <w:t xml:space="preserve"> </w:t>
            </w:r>
            <w:r>
              <w:rPr>
                <w:sz w:val="18"/>
                <w:szCs w:val="18"/>
                <w:b/>
              </w:rPr>
              <w:t xml:space="preserve">0.1981 ± 0.0486</w:t>
            </w:r>
            <w:r>
              <w:rPr>
                <w:sz w:val="18"/>
                <w:szCs w:val="18"/>
              </w:rPr>
              <w:t xml:space="preserve"> </w:t>
            </w:r>
          </w:p>
        </w:tc>
        <w:tc>
          <w:tcPr>
            <w:tcW w:w="1053" w:type="dxa"/>
          </w:tcPr>
          <w:p>
            <w:pPr>
              <w:ind w:firstLine="0"/>
              <w:jc w:val="center"/>
              <w:rPr>
                <w:sz w:val="18"/>
                <w:szCs w:val="18"/>
              </w:rPr>
            </w:pPr>
            <w:r>
              <w:rPr>
                <w:sz w:val="18"/>
                <w:szCs w:val="18"/>
              </w:rPr>
              <w:t xml:space="preserve"> −0.2512 </w:t>
            </w:r>
          </w:p>
        </w:tc>
      </w:tr>
      <w:tr>
        <w:trPr>
          <w:jc w:val="center"/>
        </w:trPr>
        <w:tc>
          <w:tcPr>
            <w:tcW w:w="1868" w:type="dxa"/>
          </w:tcPr>
          <w:p>
            <w:pPr>
              <w:ind w:firstLine="0"/>
              <w:jc w:val="left"/>
              <w:rPr>
                <w:sz w:val="18"/>
                <w:szCs w:val="18"/>
              </w:rPr>
            </w:pPr>
            <w:r>
              <w:rPr>
                <w:sz w:val="18"/>
                <w:szCs w:val="18"/>
              </w:rPr>
              <w:t xml:space="preserve">LR-PSNR ↑       </w:t>
            </w:r>
          </w:p>
        </w:tc>
        <w:tc>
          <w:tcPr>
            <w:tcW w:w="1984" w:type="dxa"/>
          </w:tcPr>
          <w:p>
            <w:pPr>
              <w:ind w:firstLine="0"/>
              <w:jc w:val="center"/>
              <w:rPr>
                <w:sz w:val="18"/>
                <w:szCs w:val="18"/>
              </w:rPr>
            </w:pPr>
            <w:r>
              <w:rPr>
                <w:sz w:val="18"/>
                <w:szCs w:val="18"/>
              </w:rPr>
              <w:t xml:space="preserve"> 44.66 ± 0.82 </w:t>
            </w:r>
          </w:p>
        </w:tc>
        <w:tc>
          <w:tcPr>
            <w:tcW w:w="1984" w:type="dxa"/>
          </w:tcPr>
          <w:p>
            <w:pPr>
              <w:ind w:firstLine="0"/>
              <w:jc w:val="center"/>
              <w:rPr>
                <w:sz w:val="18"/>
                <w:szCs w:val="18"/>
              </w:rPr>
            </w:pPr>
            <w:r>
              <w:rPr>
                <w:sz w:val="18"/>
                <w:szCs w:val="18"/>
              </w:rPr>
              <w:t xml:space="preserve"> </w:t>
            </w:r>
            <w:r>
              <w:rPr>
                <w:sz w:val="18"/>
                <w:szCs w:val="18"/>
                <w:b/>
              </w:rPr>
              <w:t xml:space="preserve">44.95 ± 0.66</w:t>
            </w:r>
            <w:r>
              <w:rPr>
                <w:sz w:val="18"/>
                <w:szCs w:val="18"/>
              </w:rPr>
              <w:t xml:space="preserve"> </w:t>
            </w:r>
          </w:p>
        </w:tc>
        <w:tc>
          <w:tcPr>
            <w:tcW w:w="1053" w:type="dxa"/>
          </w:tcPr>
          <w:p>
            <w:pPr>
              <w:ind w:firstLine="0"/>
              <w:jc w:val="center"/>
              <w:rPr>
                <w:sz w:val="18"/>
                <w:szCs w:val="18"/>
              </w:rPr>
            </w:pPr>
            <w:r>
              <w:rPr>
                <w:sz w:val="18"/>
                <w:szCs w:val="18"/>
              </w:rPr>
              <w:t xml:space="preserve"> +0.29 </w:t>
            </w:r>
          </w:p>
        </w:tc>
      </w:tr>
      <w:tr>
        <w:trPr>
          <w:jc w:val="center"/>
        </w:trPr>
        <w:tc>
          <w:tcPr>
            <w:tcW w:w="1868" w:type="dxa"/>
          </w:tcPr>
          <w:p>
            <w:pPr>
              <w:ind w:firstLine="0"/>
              <w:jc w:val="left"/>
              <w:rPr>
                <w:sz w:val="18"/>
                <w:szCs w:val="18"/>
              </w:rPr>
            </w:pPr>
            <w:r>
              <w:rPr>
                <w:sz w:val="18"/>
                <w:szCs w:val="18"/>
              </w:rPr>
              <w:t xml:space="preserve">PSNR ↑          </w:t>
            </w:r>
          </w:p>
        </w:tc>
        <w:tc>
          <w:tcPr>
            <w:tcW w:w="1984" w:type="dxa"/>
          </w:tcPr>
          <w:p>
            <w:pPr>
              <w:ind w:firstLine="0"/>
              <w:jc w:val="center"/>
              <w:rPr>
                <w:sz w:val="18"/>
                <w:szCs w:val="18"/>
              </w:rPr>
            </w:pPr>
            <w:r>
              <w:rPr>
                <w:sz w:val="18"/>
                <w:szCs w:val="18"/>
              </w:rPr>
              <w:t xml:space="preserve"> </w:t>
            </w:r>
            <w:r>
              <w:rPr>
                <w:sz w:val="18"/>
                <w:szCs w:val="18"/>
                <w:b/>
              </w:rPr>
              <w:t xml:space="preserve">25.033 ± 0.082</w:t>
            </w:r>
            <w:r>
              <w:rPr>
                <w:sz w:val="18"/>
                <w:szCs w:val="18"/>
              </w:rPr>
              <w:t xml:space="preserve"> </w:t>
            </w:r>
          </w:p>
        </w:tc>
        <w:tc>
          <w:tcPr>
            <w:tcW w:w="1984" w:type="dxa"/>
          </w:tcPr>
          <w:p>
            <w:pPr>
              <w:ind w:firstLine="0"/>
              <w:jc w:val="center"/>
              <w:rPr>
                <w:sz w:val="18"/>
                <w:szCs w:val="18"/>
              </w:rPr>
            </w:pPr>
            <w:r>
              <w:rPr>
                <w:sz w:val="18"/>
                <w:szCs w:val="18"/>
              </w:rPr>
              <w:t xml:space="preserve"> 25.031 ± 0.075 </w:t>
            </w:r>
          </w:p>
        </w:tc>
        <w:tc>
          <w:tcPr>
            <w:tcW w:w="1053" w:type="dxa"/>
          </w:tcPr>
          <w:p>
            <w:pPr>
              <w:ind w:firstLine="0"/>
              <w:jc w:val="center"/>
              <w:rPr>
                <w:sz w:val="18"/>
                <w:szCs w:val="18"/>
              </w:rPr>
            </w:pPr>
            <w:r>
              <w:rPr>
                <w:sz w:val="18"/>
                <w:szCs w:val="18"/>
              </w:rPr>
              <w:t xml:space="preserve"> −0.002 </w:t>
            </w:r>
          </w:p>
        </w:tc>
      </w:tr>
      <w:tr>
        <w:trPr>
          <w:jc w:val="center"/>
        </w:trPr>
        <w:tc>
          <w:tcPr>
            <w:tcW w:w="1868" w:type="dxa"/>
          </w:tcPr>
          <w:p>
            <w:pPr>
              <w:ind w:firstLine="0"/>
              <w:jc w:val="left"/>
              <w:rPr>
                <w:sz w:val="18"/>
                <w:szCs w:val="18"/>
              </w:rPr>
            </w:pPr>
            <w:r>
              <w:rPr>
                <w:sz w:val="18"/>
                <w:szCs w:val="18"/>
              </w:rPr>
              <w:t xml:space="preserve">SSIM ↑          </w:t>
            </w:r>
          </w:p>
        </w:tc>
        <w:tc>
          <w:tcPr>
            <w:tcW w:w="1984" w:type="dxa"/>
          </w:tcPr>
          <w:p>
            <w:pPr>
              <w:ind w:firstLine="0"/>
              <w:jc w:val="center"/>
              <w:rPr>
                <w:sz w:val="18"/>
                <w:szCs w:val="18"/>
              </w:rPr>
            </w:pPr>
            <w:r>
              <w:rPr>
                <w:sz w:val="18"/>
                <w:szCs w:val="18"/>
              </w:rPr>
              <w:t xml:space="preserve"> </w:t>
            </w:r>
            <w:r>
              <w:rPr>
                <w:sz w:val="18"/>
                <w:szCs w:val="18"/>
                <w:b/>
              </w:rPr>
              <w:t xml:space="preserve">0.8143 ± 0.0022</w:t>
            </w:r>
            <w:r>
              <w:rPr>
                <w:sz w:val="18"/>
                <w:szCs w:val="18"/>
              </w:rPr>
              <w:t xml:space="preserve"> </w:t>
            </w:r>
          </w:p>
        </w:tc>
        <w:tc>
          <w:tcPr>
            <w:tcW w:w="1984" w:type="dxa"/>
          </w:tcPr>
          <w:p>
            <w:pPr>
              <w:ind w:firstLine="0"/>
              <w:jc w:val="center"/>
              <w:rPr>
                <w:sz w:val="18"/>
                <w:szCs w:val="18"/>
              </w:rPr>
            </w:pPr>
            <w:r>
              <w:rPr>
                <w:sz w:val="18"/>
                <w:szCs w:val="18"/>
              </w:rPr>
              <w:t xml:space="preserve"> 0.8141 ± 0.0021 </w:t>
            </w:r>
          </w:p>
        </w:tc>
        <w:tc>
          <w:tcPr>
            <w:tcW w:w="1053" w:type="dxa"/>
          </w:tcPr>
          <w:p>
            <w:pPr>
              <w:ind w:firstLine="0"/>
              <w:jc w:val="center"/>
              <w:rPr>
                <w:sz w:val="18"/>
                <w:szCs w:val="18"/>
              </w:rPr>
            </w:pPr>
            <w:r>
              <w:rPr>
                <w:sz w:val="18"/>
                <w:szCs w:val="18"/>
              </w:rPr>
              <w:t xml:space="preserve"> −0.0002 </w:t>
            </w:r>
          </w:p>
        </w:tc>
      </w:tr>
      <w:tr>
        <w:trPr>
          <w:jc w:val="center"/>
        </w:trPr>
        <w:tc>
          <w:tcPr>
            <w:tcW w:w="1868" w:type="dxa"/>
          </w:tcPr>
          <w:p>
            <w:pPr>
              <w:ind w:firstLine="0"/>
              <w:jc w:val="left"/>
              <w:rPr>
                <w:sz w:val="18"/>
                <w:szCs w:val="18"/>
              </w:rPr>
            </w:pPr>
            <w:r>
              <w:rPr>
                <w:sz w:val="18"/>
                <w:szCs w:val="18"/>
              </w:rPr>
              <w:t xml:space="preserve">LPIPS ↓       </w:t>
            </w:r>
          </w:p>
        </w:tc>
        <w:tc>
          <w:tcPr>
            <w:tcW w:w="1984" w:type="dxa"/>
          </w:tcPr>
          <w:p>
            <w:pPr>
              <w:ind w:firstLine="0"/>
              <w:jc w:val="center"/>
              <w:rPr>
                <w:sz w:val="18"/>
                <w:szCs w:val="18"/>
              </w:rPr>
            </w:pPr>
            <w:r>
              <w:rPr>
                <w:sz w:val="18"/>
                <w:szCs w:val="18"/>
              </w:rPr>
              <w:t xml:space="preserve"> </w:t>
            </w:r>
            <w:r>
              <w:rPr>
                <w:sz w:val="18"/>
                <w:szCs w:val="18"/>
                <w:b/>
              </w:rPr>
              <w:t xml:space="preserve">0.0439 ± 0.0020</w:t>
            </w:r>
            <w:r>
              <w:rPr>
                <w:sz w:val="18"/>
                <w:szCs w:val="18"/>
              </w:rPr>
              <w:t xml:space="preserve"> </w:t>
            </w:r>
          </w:p>
        </w:tc>
        <w:tc>
          <w:tcPr>
            <w:tcW w:w="1984" w:type="dxa"/>
          </w:tcPr>
          <w:p>
            <w:pPr>
              <w:ind w:firstLine="0"/>
              <w:jc w:val="center"/>
              <w:rPr>
                <w:sz w:val="18"/>
                <w:szCs w:val="18"/>
              </w:rPr>
            </w:pPr>
            <w:r>
              <w:rPr>
                <w:sz w:val="18"/>
                <w:szCs w:val="18"/>
              </w:rPr>
              <w:t xml:space="preserve"> 0.0446 ± 0.0021 </w:t>
            </w:r>
          </w:p>
        </w:tc>
        <w:tc>
          <w:tcPr>
            <w:tcW w:w="1053" w:type="dxa"/>
          </w:tcPr>
          <w:p>
            <w:pPr>
              <w:ind w:firstLine="0"/>
              <w:jc w:val="center"/>
              <w:rPr>
                <w:sz w:val="18"/>
                <w:szCs w:val="18"/>
              </w:rPr>
            </w:pPr>
            <w:r>
              <w:rPr>
                <w:sz w:val="18"/>
                <w:szCs w:val="18"/>
              </w:rPr>
              <w:t xml:space="preserve"> +0.0007 </w:t>
            </w:r>
          </w:p>
        </w:tc>
      </w:tr>
      <w:tr>
        <w:trPr>
          <w:jc w:val="center"/>
        </w:trPr>
        <w:tc>
          <w:tcPr>
            <w:tcW w:w="1868" w:type="dxa"/>
            <w:tcBorders>
              <w:bottom w:val="single" w:sz="12" w:space="0" w:color="000000"/>
            </w:tcBorders>
          </w:tcPr>
          <w:p>
            <w:pPr>
              <w:ind w:firstLine="0"/>
              <w:jc w:val="left"/>
              <w:rPr>
                <w:sz w:val="18"/>
                <w:szCs w:val="18"/>
              </w:rPr>
            </w:pPr>
            <w:r>
              <w:rPr>
                <w:sz w:val="18"/>
                <w:szCs w:val="18"/>
              </w:rPr>
              <w:t xml:space="preserve">FID ↓         </w:t>
            </w:r>
          </w:p>
        </w:tc>
        <w:tc>
          <w:tcPr>
            <w:tcW w:w="1984" w:type="dxa"/>
            <w:tcBorders>
              <w:bottom w:val="single" w:sz="12" w:space="0" w:color="000000"/>
            </w:tcBorders>
          </w:tcPr>
          <w:p>
            <w:pPr>
              <w:ind w:firstLine="0"/>
              <w:jc w:val="center"/>
              <w:rPr>
                <w:sz w:val="18"/>
                <w:szCs w:val="18"/>
              </w:rPr>
            </w:pPr>
            <w:r>
              <w:rPr>
                <w:sz w:val="18"/>
                <w:szCs w:val="18"/>
              </w:rPr>
              <w:t xml:space="preserve"> </w:t>
            </w:r>
            <w:r>
              <w:rPr>
                <w:sz w:val="18"/>
                <w:szCs w:val="18"/>
                <w:b/>
              </w:rPr>
              <w:t xml:space="preserve">66.70 ± 2.19</w:t>
            </w:r>
            <w:r>
              <w:rPr>
                <w:sz w:val="18"/>
                <w:szCs w:val="18"/>
              </w:rPr>
              <w:t xml:space="preserve"> </w:t>
            </w:r>
          </w:p>
        </w:tc>
        <w:tc>
          <w:tcPr>
            <w:tcW w:w="1984" w:type="dxa"/>
            <w:tcBorders>
              <w:bottom w:val="single" w:sz="12" w:space="0" w:color="000000"/>
            </w:tcBorders>
          </w:tcPr>
          <w:p>
            <w:pPr>
              <w:ind w:firstLine="0"/>
              <w:jc w:val="center"/>
              <w:rPr>
                <w:sz w:val="18"/>
                <w:szCs w:val="18"/>
              </w:rPr>
            </w:pPr>
            <w:r>
              <w:rPr>
                <w:sz w:val="18"/>
                <w:szCs w:val="18"/>
              </w:rPr>
              <w:t xml:space="preserve"> 69.43 ± 3.59 </w:t>
            </w:r>
          </w:p>
        </w:tc>
        <w:tc>
          <w:tcPr>
            <w:tcW w:w="1053" w:type="dxa"/>
            <w:tcBorders>
              <w:bottom w:val="single" w:sz="12" w:space="0" w:color="000000"/>
            </w:tcBorders>
          </w:tcPr>
          <w:p>
            <w:pPr>
              <w:ind w:firstLine="0"/>
              <w:jc w:val="center"/>
              <w:rPr>
                <w:sz w:val="18"/>
                <w:szCs w:val="18"/>
              </w:rPr>
            </w:pPr>
            <w:r>
              <w:rPr>
                <w:sz w:val="18"/>
                <w:szCs w:val="18"/>
              </w:rPr>
              <w:t xml:space="preserve"> +2.73 </w:t>
            </w:r>
          </w:p>
        </w:tc>
      </w:tr>
    </w:tbl>
    <w:p>
      <w:pPr>
        <w:pStyle w:val="p1a"/>
      </w:pPr>
      <w:r>
        <w:rPr>
          <w:b/>
        </w:rPr>
        <w:t xml:space="preserve">The FID regression is the method's principal cost, and we state it plainly.</w:t>
      </w:r>
      <w:r>
        <w:t xml:space="preserve"> FID is worse in all four CelebA configurations tested—three seeds plus the larger-data tier—by +2.73 on average. Section 4.4 reports an experiment that refutes our own explanation for it, so the cause remains open. A practitioner should adopt GCC as a targeted mechanism for controlling seed-dependent color drift, not as a general improvement to perceptual quality.</w:t>
      </w:r>
    </w:p>
    <w:p>
      <w:pPr>
        <w:pStyle w:val="image"/>
      </w:pPr>
      <w:r>
        <w:drawing>
          <wp:inline distT="0" distB="0" distL="0" distR="0">
            <wp:extent cx="3601440" cy="3956455"/>
            <wp:effectExtent l="0" t="0" r="0" b="0"/>
            <wp:docPr id="1" name="Picture 1" descr="qualit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png"/>
                    <pic:cNvPicPr/>
                  </pic:nvPicPr>
                  <pic:blipFill>
                    <a:blip r:embed="rId900"/>
                    <a:stretch>
                      <a:fillRect/>
                    </a:stretch>
                  </pic:blipFill>
                  <pic:spPr>
                    <a:xfrm>
                      <a:off x="0" y="0"/>
                      <a:ext cx="3601440" cy="3956455"/>
                    </a:xfrm>
                    <a:prstGeom prst="rect">
                      <a:avLst/>
                    </a:prstGeom>
                  </pic:spPr>
                </pic:pic>
              </a:graphicData>
            </a:graphic>
          </wp:inline>
        </w:drawing>
      </w:r>
    </w:p>
    <w:p>
      <w:pPr>
        <w:pStyle w:val="figurecaption"/>
      </w:pPr>
      <w:r>
        <w:rPr>
          <w:b/>
        </w:rPr>
        <w:t xml:space="preserve">Fig. </w:t>
      </w:r>
      <w:fldSimple w:instr=" SEQ &quot;Figure&quot; \* MERGEFORMAT ">
        <w:r>
          <w:rPr>
            <w:b/>
            <w:noProof/>
          </w:rPr>
          <w:t>1</w:t>
        </w:r>
      </w:fldSimple>
      <w:r>
        <w:rPr>
          <w:b/>
        </w:rPr>
        <w:t>.</w:t>
      </w:r>
      <w:r>
        <w:t xml:space="preserve"> </w:t>
      </w:r>
      <w:r>
        <w:t xml:space="preserve">CelebA 4×: LR input, bicubic, baseline, CC-ResDiff, ground truth. Rows are the test images with the largest color-error difference, a selection rule chosen to display the phenomenon under discussion; per-image color error Δ</w:t>
      </w:r>
      <w:r>
        <w:rPr>
          <w:i/>
        </w:rPr>
        <w:t xml:space="preserve">c</w:t>
      </w:r>
      <w:r>
        <w:t xml:space="preserve"> is printed beneath each result. Differences are measurable but visually subtle: color error is in 0–255 units, so 0.82 → 0.24 is a sub-one-level shift—far above the 0.0022 measurement noise and consistent across 298/300 images, yet near the limit of perceptibility.</w:t>
      </w:r>
    </w:p>
    <w:p>
      <w:pPr>
        <w:pStyle w:val="heading2"/>
      </w:pPr>
      <w:r>
        <w:t xml:space="preserve">Post-hoc Color Correction is Insufficient</w:t>
      </w:r>
    </w:p>
    <w:p>
      <w:pPr>
        <w:pStyle w:val="p1a"/>
      </w:pPr>
      <w:r>
        <w:t xml:space="preserve">A natural objection is that cheap post-processing might achieve the same effect. We applied per-channel mean and mean/standard-deviation matching to the baseline's outputs, using the upsampled LR image as reference—the only reference admissible at inference, since matching to the ground truth would be unusable in practice. Neither variant helps (Table 3): both increase color error, and matching the variance costs 7.4 dB of LR-PSNR by altering exactly the low-frequency content LR-PSNR measures.</w:t>
      </w:r>
    </w:p>
    <w:p>
      <w:pPr>
        <w:pStyle w:val="tablecaption"/>
      </w:pPr>
      <w:r>
        <w:rPr>
          <w:b/>
        </w:rPr>
        <w:t xml:space="preserve">Table </w:t>
      </w:r>
      <w:fldSimple w:instr=" SEQ &quot;Table&quot; \* MERGEFORMAT ">
        <w:r>
          <w:rPr>
            <w:b/>
            <w:noProof/>
          </w:rPr>
          <w:t>3</w:t>
        </w:r>
      </w:fldSimple>
      <w:r>
        <w:rPr>
          <w:b/>
        </w:rPr>
        <w:t>.</w:t>
      </w:r>
      <w:r>
        <w:t xml:space="preserve"> </w:t>
      </w:r>
      <w:r>
        <w:t xml:space="preserve">Post-hoc color correction versus learned supervision, CelebA, 300 test images.</w:t>
      </w:r>
    </w:p>
    <w:tbl>
      <w:tblPr>
        <w:tblW w:w="6889" w:type="dxa"/>
        <w:jc w:val="center"/>
        <w:tblLayout w:type="fixed"/>
        <w:tblCellMar>
          <w:left w:w="70" w:type="dxa"/>
          <w:right w:w="70" w:type="dxa"/>
        </w:tblCellMar>
        <w:tblLook w:val="0000"/>
      </w:tblPr>
      <w:tblGrid>
        <w:gridCol w:w="3632"/>
        <w:gridCol w:w="1878"/>
        <w:gridCol w:w="1379"/>
      </w:tblGrid>
      <w:tr>
        <w:trPr>
          <w:jc w:val="center"/>
        </w:trPr>
        <w:tc>
          <w:tcPr>
            <w:tcW w:w="3632" w:type="dxa"/>
            <w:tcBorders>
              <w:top w:val="single" w:sz="12" w:space="0" w:color="000000"/>
              <w:bottom w:val="single" w:sz="6" w:space="0" w:color="000000"/>
            </w:tcBorders>
          </w:tcPr>
          <w:p>
            <w:pPr>
              <w:ind w:firstLine="0"/>
              <w:jc w:val="left"/>
              <w:rPr>
                <w:sz w:val="18"/>
                <w:szCs w:val="18"/>
              </w:rPr>
            </w:pPr>
            <w:r>
              <w:rPr>
                <w:sz w:val="18"/>
                <w:szCs w:val="18"/>
              </w:rPr>
              <w:t xml:space="preserve">Method </w:t>
            </w:r>
          </w:p>
        </w:tc>
        <w:tc>
          <w:tcPr>
            <w:tcW w:w="1878" w:type="dxa"/>
            <w:tcBorders>
              <w:top w:val="single" w:sz="12" w:space="0" w:color="000000"/>
              <w:bottom w:val="single" w:sz="6" w:space="0" w:color="000000"/>
            </w:tcBorders>
          </w:tcPr>
          <w:p>
            <w:pPr>
              <w:ind w:firstLine="0"/>
              <w:jc w:val="center"/>
              <w:rPr>
                <w:sz w:val="18"/>
                <w:szCs w:val="18"/>
              </w:rPr>
            </w:pPr>
            <w:r>
              <w:rPr>
                <w:sz w:val="18"/>
                <w:szCs w:val="18"/>
              </w:rPr>
              <w:t xml:space="preserve"> Color error ↓ </w:t>
            </w:r>
          </w:p>
        </w:tc>
        <w:tc>
          <w:tcPr>
            <w:tcW w:w="1379" w:type="dxa"/>
            <w:tcBorders>
              <w:top w:val="single" w:sz="12" w:space="0" w:color="000000"/>
              <w:bottom w:val="single" w:sz="6" w:space="0" w:color="000000"/>
            </w:tcBorders>
          </w:tcPr>
          <w:p>
            <w:pPr>
              <w:ind w:firstLine="0"/>
              <w:jc w:val="center"/>
              <w:rPr>
                <w:sz w:val="18"/>
                <w:szCs w:val="18"/>
              </w:rPr>
            </w:pPr>
            <w:r>
              <w:rPr>
                <w:sz w:val="18"/>
                <w:szCs w:val="18"/>
              </w:rPr>
              <w:t xml:space="preserve"> LR-PSNR ↑ </w:t>
            </w:r>
          </w:p>
        </w:tc>
      </w:tr>
      <w:tr>
        <w:trPr>
          <w:jc w:val="center"/>
        </w:trPr>
        <w:tc>
          <w:tcPr>
            <w:tcW w:w="3632" w:type="dxa"/>
          </w:tcPr>
          <w:p>
            <w:pPr>
              <w:ind w:firstLine="0"/>
              <w:jc w:val="left"/>
              <w:rPr>
                <w:sz w:val="18"/>
                <w:szCs w:val="18"/>
              </w:rPr>
            </w:pPr>
            <w:r>
              <w:rPr>
                <w:sz w:val="18"/>
                <w:szCs w:val="18"/>
              </w:rPr>
              <w:t xml:space="preserve">Baseline                </w:t>
            </w:r>
          </w:p>
        </w:tc>
        <w:tc>
          <w:tcPr>
            <w:tcW w:w="1878" w:type="dxa"/>
          </w:tcPr>
          <w:p>
            <w:pPr>
              <w:ind w:firstLine="0"/>
              <w:jc w:val="center"/>
              <w:rPr>
                <w:sz w:val="18"/>
                <w:szCs w:val="18"/>
              </w:rPr>
            </w:pPr>
            <w:r>
              <w:rPr>
                <w:sz w:val="18"/>
                <w:szCs w:val="18"/>
              </w:rPr>
              <w:t xml:space="preserve"> 0.8234 </w:t>
            </w:r>
          </w:p>
        </w:tc>
        <w:tc>
          <w:tcPr>
            <w:tcW w:w="1379" w:type="dxa"/>
          </w:tcPr>
          <w:p>
            <w:pPr>
              <w:ind w:firstLine="0"/>
              <w:jc w:val="center"/>
              <w:rPr>
                <w:sz w:val="18"/>
                <w:szCs w:val="18"/>
              </w:rPr>
            </w:pPr>
            <w:r>
              <w:rPr>
                <w:sz w:val="18"/>
                <w:szCs w:val="18"/>
              </w:rPr>
              <w:t xml:space="preserve"> 43.690 </w:t>
            </w:r>
          </w:p>
        </w:tc>
      </w:tr>
      <w:tr>
        <w:trPr>
          <w:jc w:val="center"/>
        </w:trPr>
        <w:tc>
          <w:tcPr>
            <w:tcW w:w="3632" w:type="dxa"/>
          </w:tcPr>
          <w:p>
            <w:pPr>
              <w:ind w:firstLine="0"/>
              <w:jc w:val="left"/>
              <w:rPr>
                <w:sz w:val="18"/>
                <w:szCs w:val="18"/>
              </w:rPr>
            </w:pPr>
            <w:r>
              <w:rPr>
                <w:sz w:val="18"/>
                <w:szCs w:val="18"/>
              </w:rPr>
              <w:t xml:space="preserve"> + mean transfer      </w:t>
            </w:r>
          </w:p>
        </w:tc>
        <w:tc>
          <w:tcPr>
            <w:tcW w:w="1878" w:type="dxa"/>
          </w:tcPr>
          <w:p>
            <w:pPr>
              <w:ind w:firstLine="0"/>
              <w:jc w:val="center"/>
              <w:rPr>
                <w:sz w:val="18"/>
                <w:szCs w:val="18"/>
              </w:rPr>
            </w:pPr>
            <w:r>
              <w:rPr>
                <w:sz w:val="18"/>
                <w:szCs w:val="18"/>
              </w:rPr>
              <w:t xml:space="preserve"> 0.8746 </w:t>
            </w:r>
          </w:p>
        </w:tc>
        <w:tc>
          <w:tcPr>
            <w:tcW w:w="1379" w:type="dxa"/>
          </w:tcPr>
          <w:p>
            <w:pPr>
              <w:ind w:firstLine="0"/>
              <w:jc w:val="center"/>
              <w:rPr>
                <w:sz w:val="18"/>
                <w:szCs w:val="18"/>
              </w:rPr>
            </w:pPr>
            <w:r>
              <w:rPr>
                <w:sz w:val="18"/>
                <w:szCs w:val="18"/>
              </w:rPr>
              <w:t xml:space="preserve"> 43.558 </w:t>
            </w:r>
          </w:p>
        </w:tc>
      </w:tr>
      <w:tr>
        <w:trPr>
          <w:jc w:val="center"/>
        </w:trPr>
        <w:tc>
          <w:tcPr>
            <w:tcW w:w="3632" w:type="dxa"/>
          </w:tcPr>
          <w:p>
            <w:pPr>
              <w:ind w:firstLine="0"/>
              <w:jc w:val="left"/>
              <w:rPr>
                <w:sz w:val="18"/>
                <w:szCs w:val="18"/>
              </w:rPr>
            </w:pPr>
            <w:r>
              <w:rPr>
                <w:sz w:val="18"/>
                <w:szCs w:val="18"/>
              </w:rPr>
              <w:t xml:space="preserve"> + mean/std transfer  </w:t>
            </w:r>
          </w:p>
        </w:tc>
        <w:tc>
          <w:tcPr>
            <w:tcW w:w="1878" w:type="dxa"/>
          </w:tcPr>
          <w:p>
            <w:pPr>
              <w:ind w:firstLine="0"/>
              <w:jc w:val="center"/>
              <w:rPr>
                <w:sz w:val="18"/>
                <w:szCs w:val="18"/>
              </w:rPr>
            </w:pPr>
            <w:r>
              <w:rPr>
                <w:sz w:val="18"/>
                <w:szCs w:val="18"/>
              </w:rPr>
              <w:t xml:space="preserve"> 0.9333 </w:t>
            </w:r>
          </w:p>
        </w:tc>
        <w:tc>
          <w:tcPr>
            <w:tcW w:w="1379" w:type="dxa"/>
          </w:tcPr>
          <w:p>
            <w:pPr>
              <w:ind w:firstLine="0"/>
              <w:jc w:val="center"/>
              <w:rPr>
                <w:sz w:val="18"/>
                <w:szCs w:val="18"/>
              </w:rPr>
            </w:pPr>
            <w:r>
              <w:rPr>
                <w:sz w:val="18"/>
                <w:szCs w:val="18"/>
              </w:rPr>
              <w:t xml:space="preserve"> 36.243 </w:t>
            </w:r>
          </w:p>
        </w:tc>
      </w:tr>
      <w:tr>
        <w:trPr>
          <w:jc w:val="center"/>
        </w:trPr>
        <w:tc>
          <w:tcPr>
            <w:tcW w:w="3632" w:type="dxa"/>
          </w:tcPr>
          <w:p>
            <w:pPr>
              <w:ind w:firstLine="0"/>
              <w:jc w:val="left"/>
              <w:rPr>
                <w:sz w:val="18"/>
                <w:szCs w:val="18"/>
              </w:rPr>
            </w:pPr>
            <w:r>
              <w:rPr>
                <w:sz w:val="18"/>
                <w:szCs w:val="18"/>
                <w:i/>
              </w:rPr>
              <w:t xml:space="preserve">reference floor</w:t>
            </w:r>
            <w:r>
              <w:rPr>
                <w:sz w:val="18"/>
                <w:szCs w:val="18"/>
              </w:rPr>
              <w:t xml:space="preserve"> (</w:t>
            </w:r>
            <w:r>
              <w:rPr>
                <w:sz w:val="18"/>
                <w:szCs w:val="18"/>
                <w:i/>
              </w:rPr>
              <w:t xml:space="preserve">x</w:t>
            </w:r>
            <w:r>
              <w:rPr>
                <w:sz w:val="18"/>
                <w:szCs w:val="18"/>
                <w:i/>
                <w:vertAlign w:val="subscript"/>
              </w:rPr>
              <w:t xml:space="preserve">up</w:t>
            </w:r>
            <w:r>
              <w:rPr>
                <w:sz w:val="18"/>
                <w:szCs w:val="18"/>
              </w:rPr>
              <w:t xml:space="preserve"> vs </w:t>
            </w:r>
            <w:r>
              <w:rPr>
                <w:sz w:val="18"/>
                <w:szCs w:val="18"/>
                <w:i/>
              </w:rPr>
              <w:t xml:space="preserve">x</w:t>
            </w:r>
            <w:r>
              <w:rPr>
                <w:sz w:val="18"/>
                <w:szCs w:val="18"/>
                <w:i/>
                <w:vertAlign w:val="subscript"/>
              </w:rPr>
              <w:t xml:space="preserve">HR</w:t>
            </w:r>
            <w:r>
              <w:rPr>
                <w:sz w:val="18"/>
                <w:szCs w:val="18"/>
              </w:rPr>
              <w:t xml:space="preserve">) </w:t>
            </w:r>
          </w:p>
        </w:tc>
        <w:tc>
          <w:tcPr>
            <w:tcW w:w="1878" w:type="dxa"/>
          </w:tcPr>
          <w:p>
            <w:pPr>
              <w:ind w:firstLine="0"/>
              <w:jc w:val="center"/>
              <w:rPr>
                <w:sz w:val="18"/>
                <w:szCs w:val="18"/>
              </w:rPr>
            </w:pPr>
            <w:r>
              <w:rPr>
                <w:sz w:val="18"/>
                <w:szCs w:val="18"/>
              </w:rPr>
              <w:t xml:space="preserve"> </w:t>
            </w:r>
            <w:r>
              <w:rPr>
                <w:sz w:val="18"/>
                <w:szCs w:val="18"/>
                <w:i/>
              </w:rPr>
              <w:t xml:space="preserve">0.4358</w:t>
            </w:r>
            <w:r>
              <w:rPr>
                <w:sz w:val="18"/>
                <w:szCs w:val="18"/>
              </w:rPr>
              <w:t xml:space="preserve"> </w:t>
            </w:r>
          </w:p>
        </w:tc>
        <w:tc>
          <w:tcPr>
            <w:tcW w:w="1379" w:type="dxa"/>
          </w:tcPr>
          <w:p>
            <w:pPr>
              <w:ind w:firstLine="0"/>
              <w:jc w:val="center"/>
              <w:rPr>
                <w:sz w:val="18"/>
                <w:szCs w:val="18"/>
              </w:rPr>
            </w:pPr>
            <w:r>
              <w:rPr>
                <w:sz w:val="18"/>
                <w:szCs w:val="18"/>
              </w:rPr>
              <w:t xml:space="preserve"> — </w:t>
            </w:r>
          </w:p>
        </w:tc>
      </w:tr>
      <w:tr>
        <w:trPr>
          <w:jc w:val="center"/>
        </w:trPr>
        <w:tc>
          <w:tcPr>
            <w:tcW w:w="3632" w:type="dxa"/>
            <w:tcBorders>
              <w:bottom w:val="single" w:sz="12" w:space="0" w:color="000000"/>
            </w:tcBorders>
          </w:tcPr>
          <w:p>
            <w:pPr>
              <w:ind w:firstLine="0"/>
              <w:jc w:val="left"/>
              <w:rPr>
                <w:sz w:val="18"/>
                <w:szCs w:val="18"/>
              </w:rPr>
            </w:pPr>
            <w:r>
              <w:rPr>
                <w:sz w:val="18"/>
                <w:szCs w:val="18"/>
              </w:rPr>
              <w:t xml:space="preserve">CC-ResDiff              </w:t>
            </w:r>
          </w:p>
        </w:tc>
        <w:tc>
          <w:tcPr>
            <w:tcW w:w="1878" w:type="dxa"/>
            <w:tcBorders>
              <w:bottom w:val="single" w:sz="12" w:space="0" w:color="000000"/>
            </w:tcBorders>
          </w:tcPr>
          <w:p>
            <w:pPr>
              <w:ind w:firstLine="0"/>
              <w:jc w:val="center"/>
              <w:rPr>
                <w:sz w:val="18"/>
                <w:szCs w:val="18"/>
              </w:rPr>
            </w:pPr>
            <w:r>
              <w:rPr>
                <w:sz w:val="18"/>
                <w:szCs w:val="18"/>
              </w:rPr>
              <w:t xml:space="preserve"> </w:t>
            </w:r>
            <w:r>
              <w:rPr>
                <w:sz w:val="18"/>
                <w:szCs w:val="18"/>
                <w:b/>
              </w:rPr>
              <w:t xml:space="preserve">0.2423</w:t>
            </w:r>
            <w:r>
              <w:rPr>
                <w:sz w:val="18"/>
                <w:szCs w:val="18"/>
              </w:rPr>
              <w:t xml:space="preserve"> </w:t>
            </w:r>
          </w:p>
        </w:tc>
        <w:tc>
          <w:tcPr>
            <w:tcW w:w="1379" w:type="dxa"/>
            <w:tcBorders>
              <w:bottom w:val="single" w:sz="12" w:space="0" w:color="000000"/>
            </w:tcBorders>
          </w:tcPr>
          <w:p>
            <w:pPr>
              <w:ind w:firstLine="0"/>
              <w:jc w:val="center"/>
              <w:rPr>
                <w:sz w:val="18"/>
                <w:szCs w:val="18"/>
              </w:rPr>
            </w:pPr>
            <w:r>
              <w:rPr>
                <w:sz w:val="18"/>
                <w:szCs w:val="18"/>
              </w:rPr>
              <w:t xml:space="preserve"> </w:t>
            </w:r>
            <w:r>
              <w:rPr>
                <w:sz w:val="18"/>
                <w:szCs w:val="18"/>
                <w:b/>
              </w:rPr>
              <w:t xml:space="preserve">44.509</w:t>
            </w:r>
            <w:r>
              <w:rPr>
                <w:sz w:val="18"/>
                <w:szCs w:val="18"/>
              </w:rPr>
              <w:t xml:space="preserve"> </w:t>
            </w:r>
          </w:p>
        </w:tc>
      </w:tr>
    </w:tbl>
    <w:p>
      <w:pPr>
        <w:pStyle w:val="p1a"/>
      </w:pPr>
      <w:r>
        <w:t xml:space="preserve">The reason is structural. Any post-hoc correction is bounded below by the accuracy of the reference it matches to, and the upsampled LR image itself differs from the ground truth by 0.4358. CC-ResDiff reaches 0.2423, below that floor, because supervision is applied during training against the true HR image and no test-time reference is required.</w:t>
      </w:r>
    </w:p>
    <w:p>
      <w:pPr>
        <w:pStyle w:val="heading2"/>
      </w:pPr>
      <w:r>
        <w:t xml:space="preserve">Gradient Analysis and a Refuted Hypothesis</w:t>
      </w:r>
    </w:p>
    <w:p>
      <w:pPr>
        <w:pStyle w:val="p1a"/>
      </w:pPr>
      <w:r>
        <w:t xml:space="preserve">Loss values suggest the GCC term is negligible—0.06% of the DDPM loss at λ= 0.1. Its </w:t>
      </w:r>
      <w:r>
        <w:rPr>
          <w:i/>
        </w:rPr>
        <w:t xml:space="preserve">gradient</w:t>
      </w:r>
      <w:r>
        <w:t xml:space="preserve"> tells a different story (Table 4): 33.9% of the DDPM gradient averaged over uniformly sampled </w:t>
      </w:r>
      <w:r>
        <w:rPr>
          <w:i/>
        </w:rPr>
        <w:t xml:space="preserve">t</w:t>
      </w:r>
      <w:r>
        <w:t xml:space="preserve">, some 500× more than the loss ratio implies, and spanning five orders of magnitude across the trajectory. The clamp bounds the loss value but not the gradient: at </w:t>
      </w:r>
      <w:r>
        <w:rPr>
          <w:i/>
        </w:rPr>
        <w:t xml:space="preserve">t</w:t>
      </w:r>
      <w:r>
        <w:t xml:space="preserve"> = </w:t>
      </w:r>
      <w:r>
        <w:rPr>
          <w:i/>
        </w:rPr>
        <w:t xml:space="preserve">T</w:t>
      </w:r>
      <w:r>
        <w:t xml:space="preserve">−1 nearly all elements saturate, yet the remainder still carry the ~2000× amplification.</w:t>
      </w:r>
    </w:p>
    <w:p>
      <w:pPr>
        <w:pStyle w:val="tablecaption"/>
      </w:pPr>
      <w:r>
        <w:rPr>
          <w:b/>
        </w:rPr>
        <w:t xml:space="preserve">Table </w:t>
      </w:r>
      <w:fldSimple w:instr=" SEQ &quot;Table&quot; \* MERGEFORMAT ">
        <w:r>
          <w:rPr>
            <w:b/>
            <w:noProof/>
          </w:rPr>
          <w:t>4</w:t>
        </w:r>
      </w:fldSimple>
      <w:r>
        <w:rPr>
          <w:b/>
        </w:rPr>
        <w:t>.</w:t>
      </w:r>
      <w:r>
        <w:t xml:space="preserve"> </w:t>
      </w:r>
      <w:r>
        <w:t xml:space="preserve">The GCC term's gradient contribution is concentrated at large </w:t>
      </w:r>
      <w:r>
        <w:rPr>
          <w:i/>
        </w:rPr>
        <w:t xml:space="preserve">t</w:t>
      </w:r>
      <w:r>
        <w:t xml:space="preserve">, spanning five orders of magnitude.</w:t>
      </w:r>
    </w:p>
    <w:tbl>
      <w:tblPr>
        <w:tblW w:w="6889" w:type="dxa"/>
        <w:jc w:val="center"/>
        <w:tblLayout w:type="fixed"/>
        <w:tblCellMar>
          <w:left w:w="70" w:type="dxa"/>
          <w:right w:w="70" w:type="dxa"/>
        </w:tblCellMar>
        <w:tblLook w:val="0000"/>
      </w:tblPr>
      <w:tblGrid>
        <w:gridCol w:w="3517"/>
        <w:gridCol w:w="1172"/>
        <w:gridCol w:w="1026"/>
        <w:gridCol w:w="1174"/>
      </w:tblGrid>
      <w:tr>
        <w:trPr>
          <w:jc w:val="center"/>
        </w:trPr>
        <w:tc>
          <w:tcPr>
            <w:tcW w:w="3517" w:type="dxa"/>
            <w:tcBorders>
              <w:top w:val="single" w:sz="12" w:space="0" w:color="000000"/>
              <w:bottom w:val="single" w:sz="6" w:space="0" w:color="000000"/>
            </w:tcBorders>
          </w:tcPr>
          <w:p>
            <w:pPr>
              <w:ind w:firstLine="0"/>
              <w:jc w:val="left"/>
              <w:rPr>
                <w:sz w:val="18"/>
                <w:szCs w:val="18"/>
              </w:rPr>
            </w:pPr>
            <w:r>
              <w:rPr>
                <w:sz w:val="18"/>
                <w:szCs w:val="18"/>
                <w:i/>
              </w:rPr>
              <w:t xml:space="preserve">t</w:t>
            </w:r>
            <w:r>
              <w:rPr>
                <w:sz w:val="18"/>
                <w:szCs w:val="18"/>
              </w:rPr>
              <w:t xml:space="preserve"> </w:t>
            </w:r>
          </w:p>
        </w:tc>
        <w:tc>
          <w:tcPr>
            <w:tcW w:w="1172" w:type="dxa"/>
            <w:tcBorders>
              <w:top w:val="single" w:sz="12" w:space="0" w:color="000000"/>
              <w:bottom w:val="single" w:sz="6" w:space="0" w:color="000000"/>
            </w:tcBorders>
          </w:tcPr>
          <w:p>
            <w:pPr>
              <w:ind w:firstLine="0"/>
              <w:jc w:val="center"/>
              <w:rPr>
                <w:sz w:val="18"/>
                <w:szCs w:val="18"/>
              </w:rPr>
            </w:pPr>
            <w:r>
              <w:rPr>
                <w:sz w:val="18"/>
                <w:szCs w:val="18"/>
              </w:rPr>
              <w:t xml:space="preserve"> 0 </w:t>
            </w:r>
          </w:p>
        </w:tc>
        <w:tc>
          <w:tcPr>
            <w:tcW w:w="1026" w:type="dxa"/>
            <w:tcBorders>
              <w:top w:val="single" w:sz="12" w:space="0" w:color="000000"/>
              <w:bottom w:val="single" w:sz="6" w:space="0" w:color="000000"/>
            </w:tcBorders>
          </w:tcPr>
          <w:p>
            <w:pPr>
              <w:ind w:firstLine="0"/>
              <w:jc w:val="center"/>
              <w:rPr>
                <w:sz w:val="18"/>
                <w:szCs w:val="18"/>
              </w:rPr>
            </w:pPr>
            <w:r>
              <w:rPr>
                <w:sz w:val="18"/>
                <w:szCs w:val="18"/>
              </w:rPr>
              <w:t xml:space="preserve"> 75 </w:t>
            </w:r>
          </w:p>
        </w:tc>
        <w:tc>
          <w:tcPr>
            <w:tcW w:w="1174" w:type="dxa"/>
            <w:tcBorders>
              <w:top w:val="single" w:sz="12" w:space="0" w:color="000000"/>
              <w:bottom w:val="single" w:sz="6" w:space="0" w:color="000000"/>
            </w:tcBorders>
          </w:tcPr>
          <w:p>
            <w:pPr>
              <w:ind w:firstLine="0"/>
              <w:jc w:val="center"/>
              <w:rPr>
                <w:sz w:val="18"/>
                <w:szCs w:val="18"/>
              </w:rPr>
            </w:pPr>
            <w:r>
              <w:rPr>
                <w:sz w:val="18"/>
                <w:szCs w:val="18"/>
              </w:rPr>
              <w:t xml:space="preserve"> </w:t>
            </w:r>
            <w:r>
              <w:rPr>
                <w:sz w:val="18"/>
                <w:szCs w:val="18"/>
                <w:i/>
              </w:rPr>
              <w:t xml:space="preserve">T</w:t>
            </w:r>
            <w:r>
              <w:rPr>
                <w:sz w:val="18"/>
                <w:szCs w:val="18"/>
              </w:rPr>
              <w:t xml:space="preserve">−1 </w:t>
            </w:r>
          </w:p>
        </w:tc>
      </w:tr>
      <w:tr>
        <w:trPr>
          <w:jc w:val="center"/>
        </w:trPr>
        <w:tc>
          <w:tcPr>
            <w:tcW w:w="3517" w:type="dxa"/>
          </w:tcPr>
          <w:p>
            <w:pPr>
              <w:ind w:firstLine="0"/>
              <w:jc w:val="left"/>
              <w:rPr>
                <w:sz w:val="18"/>
                <w:szCs w:val="18"/>
              </w:rPr>
            </w:pPr>
            <w:r>
              <w:rPr>
                <w:sz w:val="18"/>
                <w:szCs w:val="18"/>
              </w:rPr>
              <w:t xml:space="preserve">Clamped fraction </w:t>
            </w:r>
          </w:p>
        </w:tc>
        <w:tc>
          <w:tcPr>
            <w:tcW w:w="1172" w:type="dxa"/>
          </w:tcPr>
          <w:p>
            <w:pPr>
              <w:ind w:firstLine="0"/>
              <w:jc w:val="center"/>
              <w:rPr>
                <w:sz w:val="18"/>
                <w:szCs w:val="18"/>
              </w:rPr>
            </w:pPr>
            <w:r>
              <w:rPr>
                <w:sz w:val="18"/>
                <w:szCs w:val="18"/>
              </w:rPr>
              <w:t xml:space="preserve"> 0.4% </w:t>
            </w:r>
          </w:p>
        </w:tc>
        <w:tc>
          <w:tcPr>
            <w:tcW w:w="1026" w:type="dxa"/>
          </w:tcPr>
          <w:p>
            <w:pPr>
              <w:ind w:firstLine="0"/>
              <w:jc w:val="center"/>
              <w:rPr>
                <w:sz w:val="18"/>
                <w:szCs w:val="18"/>
              </w:rPr>
            </w:pPr>
            <w:r>
              <w:rPr>
                <w:sz w:val="18"/>
                <w:szCs w:val="18"/>
              </w:rPr>
              <w:t xml:space="preserve"> 0.1% </w:t>
            </w:r>
          </w:p>
        </w:tc>
        <w:tc>
          <w:tcPr>
            <w:tcW w:w="1174" w:type="dxa"/>
          </w:tcPr>
          <w:p>
            <w:pPr>
              <w:ind w:firstLine="0"/>
              <w:jc w:val="center"/>
              <w:rPr>
                <w:sz w:val="18"/>
                <w:szCs w:val="18"/>
              </w:rPr>
            </w:pPr>
            <w:r>
              <w:rPr>
                <w:sz w:val="18"/>
                <w:szCs w:val="18"/>
              </w:rPr>
              <w:t xml:space="preserve"> 97.4% </w:t>
            </w:r>
          </w:p>
        </w:tc>
      </w:tr>
      <w:tr>
        <w:trPr>
          <w:jc w:val="center"/>
        </w:trPr>
        <w:tc>
          <w:tcPr>
            <w:tcW w:w="3517" w:type="dxa"/>
            <w:tcBorders>
              <w:bottom w:val="single" w:sz="6" w:space="0" w:color="000000"/>
            </w:tcBorders>
          </w:tcPr>
          <w:p>
            <w:pPr>
              <w:ind w:firstLine="0"/>
              <w:jc w:val="left"/>
              <w:rPr>
                <w:sz w:val="18"/>
                <w:szCs w:val="18"/>
              </w:rPr>
            </w:pPr>
            <w:r>
              <w:rPr>
                <w:sz w:val="18"/>
                <w:szCs w:val="18"/>
              </w:rPr>
              <w:t xml:space="preserve">Gradient ratio to </w:t>
            </w:r>
            <w:r>
              <w:rPr>
                <w:sz w:val="18"/>
                <w:szCs w:val="18"/>
                <w:i/>
              </w:rPr>
              <w:t xml:space="preserve">L</w:t>
            </w:r>
            <w:r>
              <w:rPr>
                <w:sz w:val="18"/>
                <w:szCs w:val="18"/>
                <w:vertAlign w:val="subscript"/>
              </w:rPr>
              <w:t xml:space="preserve">DDPM</w:t>
            </w:r>
            <w:r>
              <w:rPr>
                <w:sz w:val="18"/>
                <w:szCs w:val="18"/>
              </w:rPr>
              <w:t xml:space="preserve"> </w:t>
            </w:r>
          </w:p>
        </w:tc>
        <w:tc>
          <w:tcPr>
            <w:tcW w:w="1172" w:type="dxa"/>
            <w:tcBorders>
              <w:bottom w:val="single" w:sz="6" w:space="0" w:color="000000"/>
            </w:tcBorders>
          </w:tcPr>
          <w:p>
            <w:pPr>
              <w:ind w:firstLine="0"/>
              <w:jc w:val="center"/>
              <w:rPr>
                <w:sz w:val="18"/>
                <w:szCs w:val="18"/>
              </w:rPr>
            </w:pPr>
            <w:r>
              <w:rPr>
                <w:sz w:val="18"/>
                <w:szCs w:val="18"/>
              </w:rPr>
              <w:t xml:space="preserve"> 0.002% </w:t>
            </w:r>
          </w:p>
        </w:tc>
        <w:tc>
          <w:tcPr>
            <w:tcW w:w="1026" w:type="dxa"/>
            <w:tcBorders>
              <w:bottom w:val="single" w:sz="6" w:space="0" w:color="000000"/>
            </w:tcBorders>
          </w:tcPr>
          <w:p>
            <w:pPr>
              <w:ind w:firstLine="0"/>
              <w:jc w:val="center"/>
              <w:rPr>
                <w:sz w:val="18"/>
                <w:szCs w:val="18"/>
              </w:rPr>
            </w:pPr>
            <w:r>
              <w:rPr>
                <w:sz w:val="18"/>
                <w:szCs w:val="18"/>
              </w:rPr>
              <w:t xml:space="preserve"> 1.28% </w:t>
            </w:r>
          </w:p>
        </w:tc>
        <w:tc>
          <w:tcPr>
            <w:tcW w:w="1174" w:type="dxa"/>
            <w:tcBorders>
              <w:bottom w:val="single" w:sz="6" w:space="0" w:color="000000"/>
            </w:tcBorders>
          </w:tcPr>
          <w:p>
            <w:pPr>
              <w:ind w:firstLine="0"/>
              <w:jc w:val="center"/>
              <w:rPr>
                <w:sz w:val="18"/>
                <w:szCs w:val="18"/>
              </w:rPr>
            </w:pPr>
            <w:r>
              <w:rPr>
                <w:sz w:val="18"/>
                <w:szCs w:val="18"/>
              </w:rPr>
              <w:t xml:space="preserve"> </w:t>
            </w:r>
            <w:r>
              <w:rPr>
                <w:sz w:val="18"/>
                <w:szCs w:val="18"/>
                <w:b/>
              </w:rPr>
              <w:t xml:space="preserve">235.7%</w:t>
            </w:r>
            <w:r>
              <w:rPr>
                <w:sz w:val="18"/>
                <w:szCs w:val="18"/>
              </w:rPr>
              <w:t xml:space="preserve"> </w:t>
            </w:r>
          </w:p>
        </w:tc>
      </w:tr>
      <w:tr>
        <w:trPr>
          <w:jc w:val="center"/>
        </w:trPr>
        <w:tc>
          <w:tcPr>
            <w:tcW w:w="6889" w:type="dxa"/>
            <w:gridSpan w:val="4"/>
            <w:tcBorders>
              <w:bottom w:val="single" w:sz="12" w:space="0" w:color="000000"/>
            </w:tcBorders>
          </w:tcPr>
          <w:p>
            <w:pPr>
              <w:ind w:firstLine="0"/>
              <w:jc w:val="left"/>
              <w:rPr>
                <w:sz w:val="18"/>
                <w:szCs w:val="18"/>
              </w:rPr>
            </w:pPr>
            <w:r>
              <w:rPr>
                <w:sz w:val="18"/>
                <w:szCs w:val="18"/>
                <w:i/>
              </w:rPr>
              <w:t xml:space="preserve">Over uniformly sampled t: 33.9%</w:t>
            </w:r>
          </w:p>
        </w:tc>
      </w:tr>
    </w:tbl>
    <w:p>
      <w:pPr>
        <w:pStyle w:val="p1a"/>
      </w:pPr>
      <w:r>
        <w:t xml:space="preserve">This suggested a hypothesis: if the term acts predominantly at large </w:t>
      </w:r>
      <w:r>
        <w:rPr>
          <w:i/>
        </w:rPr>
        <w:t xml:space="preserve">t</w:t>
      </w:r>
      <w:r>
        <w:t xml:space="preserve">, and that is what pulls global tone toward the dataset mean, then cancelling the skew by weighting with </w:t>
      </w:r>
      <w:r>
        <w:rPr>
          <w:i/>
        </w:rPr>
        <w:t xml:space="preserve">w</w:t>
      </w:r>
      <w:r>
        <w:rPr>
          <w:i/>
          <w:vertAlign w:val="subscript"/>
        </w:rPr>
        <w:t xml:space="preserve">t</w:t>
      </w:r>
      <w:r>
        <w:t xml:space="preserve"> = ᾱ</w:t>
      </w:r>
      <w:r>
        <w:rPr>
          <w:i/>
          <w:vertAlign w:val="subscript"/>
        </w:rPr>
        <w:t xml:space="preserve">t</w:t>
      </w:r>
      <w:r>
        <w:t xml:space="preserve"> should remove the FID regression while retaining the color benefit. The reweighting is effective as an intervention, taking the </w:t>
      </w:r>
      <w:r>
        <w:rPr>
          <w:i/>
        </w:rPr>
        <w:t xml:space="preserve">t</w:t>
      </w:r>
      <w:r>
        <w:t xml:space="preserve"> = </w:t>
      </w:r>
      <w:r>
        <w:rPr>
          <w:i/>
        </w:rPr>
        <w:t xml:space="preserve">T</w:t>
      </w:r>
      <w:r>
        <w:t xml:space="preserve">−1 versus </w:t>
      </w:r>
      <w:r>
        <w:rPr>
          <w:i/>
        </w:rPr>
        <w:t xml:space="preserve">t</w:t>
      </w:r>
      <w:r>
        <w:t xml:space="preserve"> = 0 gradient ratio from 2029× down to 0.0005×. The hypothesis, however, is wrong. FID becomes </w:t>
      </w:r>
      <w:r>
        <w:rPr>
          <w:i/>
        </w:rPr>
        <w:t xml:space="preserve">worse</w:t>
      </w:r>
      <w:r>
        <w:t xml:space="preserve"> (77.81 versus 73.23), the color benefit largely disappears (0.673 versus 0.242), and the LR-PSNR gain vanishes entirely; the reweighted variant loses on every metric we measure.</w:t>
      </w:r>
    </w:p>
    <w:p>
      <w:pPr>
        <w:pStyle w:val="Normal"/>
      </w:pPr>
      <w:r>
        <w:t xml:space="preserve">Two conclusions follow. The concentration at large </w:t>
      </w:r>
      <w:r>
        <w:rPr>
          <w:i/>
        </w:rPr>
        <w:t xml:space="preserve">t</w:t>
      </w:r>
      <w:r>
        <w:t xml:space="preserve"> is the </w:t>
      </w:r>
      <w:r>
        <w:rPr>
          <w:i/>
        </w:rPr>
        <w:t xml:space="preserve">mechanism</w:t>
      </w:r>
      <w:r>
        <w:t xml:space="preserve">, not a defect: large-</w:t>
      </w:r>
      <w:r>
        <w:rPr>
          <w:i/>
        </w:rPr>
        <w:t xml:space="preserve">t</w:t>
      </w:r>
      <w:r>
        <w:t xml:space="preserve"> steps determine global low-frequency structure while small-</w:t>
      </w:r>
      <w:r>
        <w:rPr>
          <w:i/>
        </w:rPr>
        <w:t xml:space="preserve">t</w:t>
      </w:r>
      <w:r>
        <w:t xml:space="preserve"> steps refine local detail, so a global color loss should act at large </w:t>
      </w:r>
      <w:r>
        <w:rPr>
          <w:i/>
        </w:rPr>
        <w:t xml:space="preserve">t</w:t>
      </w:r>
      <w:r>
        <w:t xml:space="preserve">, and an implementation that spread it uniformly would supervise color where color is no longer being decided. And the cause of the FID regression remains unexplained—we report the refutation rather than leave an untested explanation in the literature. More generally, any auxiliary loss defined on the reconstructed </w:t>
      </w:r>
      <w:r>
        <w:rPr>
          <w:i/>
        </w:rPr>
        <w:t xml:space="preserve">x</w:t>
      </w:r>
      <w:r>
        <w:rPr>
          <w:vertAlign w:val="subscript"/>
        </w:rPr>
        <w:t xml:space="preserve">0</w:t>
      </w:r>
      <w:r>
        <w:t xml:space="preserve"> inherits this implicit weighting; we recommend reporting gradient ratios rather than loss ratios whenever such a term is introduced.</w:t>
      </w:r>
    </w:p>
    <w:p>
      <w:pPr>
        <w:pStyle w:val="heading2"/>
      </w:pPr>
      <w:r>
        <w:t xml:space="preserve">Ablations, Scale, and When the Loss Helps</w:t>
      </w:r>
    </w:p>
    <w:p>
      <w:pPr>
        <w:pStyle w:val="p1a"/>
      </w:pPr>
      <w:r>
        <w:t xml:space="preserve">At a reduced 5,000-step budget, with an identical budget for every run so the sweep does not partly measure training length (Table 5), pool size </w:t>
      </w:r>
      <w:r>
        <w:rPr>
          <w:i/>
        </w:rPr>
        <w:t xml:space="preserve">k</w:t>
      </w:r>
      <w:r>
        <w:t xml:space="preserve">=8 is best on every metric and five of six GCC settings beat the no-GCC reference on color error. LPIPS degrades monotonically in λ and FID worsens past λ= 0.01, so the cost side is consistent. We do </w:t>
      </w:r>
      <w:r>
        <w:rPr>
          <w:i/>
        </w:rPr>
        <w:t xml:space="preserve">not</w:t>
      </w:r>
      <w:r>
        <w:t xml:space="preserve"> claim an optimal λ: color error across the six settings has standard deviation 0.109, comparable to the differences between them, so the sweep supports a usable range (λ </w:t>
      </w:r>
      <w:r>
        <w:rPr>
          <w:rFonts w:ascii="Cambria Math" w:hAnsi="Cambria Math"/>
        </w:rPr>
        <w:t xml:space="preserve">∈</w:t>
      </w:r>
      <w:r>
        <w:t xml:space="preserve"> [0.01, 0.1], </w:t>
      </w:r>
      <w:r>
        <w:rPr>
          <w:i/>
        </w:rPr>
        <w:t xml:space="preserve">k</w:t>
      </w:r>
      <w:r>
        <w:t xml:space="preserve"> = 8) rather than a dose-response curve.</w:t>
      </w:r>
    </w:p>
    <w:p>
      <w:pPr>
        <w:pStyle w:val="tablecaption"/>
      </w:pPr>
      <w:r>
        <w:rPr>
          <w:b/>
        </w:rPr>
        <w:t xml:space="preserve">Table </w:t>
      </w:r>
      <w:fldSimple w:instr=" SEQ &quot;Table&quot; \* MERGEFORMAT ">
        <w:r>
          <w:rPr>
            <w:b/>
            <w:noProof/>
          </w:rPr>
          <w:t>5</w:t>
        </w:r>
      </w:fldSimple>
      <w:r>
        <w:rPr>
          <w:b/>
        </w:rPr>
        <w:t>.</w:t>
      </w:r>
      <w:r>
        <w:t xml:space="preserve"> </w:t>
      </w:r>
      <w:r>
        <w:t xml:space="preserve">Ablations at a 5,000-step budget; pool </w:t>
      </w:r>
      <w:r>
        <w:rPr>
          <w:i/>
        </w:rPr>
        <w:t xml:space="preserve">k</w:t>
      </w:r>
      <w:r>
        <w:t xml:space="preserve">=8 unless stated, and λ= 0.1 for the </w:t>
      </w:r>
      <w:r>
        <w:rPr>
          <w:i/>
        </w:rPr>
        <w:t xml:space="preserve">k</w:t>
      </w:r>
      <w:r>
        <w:t xml:space="preserve"> rows. These runs are comparable to each other, never to Table 2.</w:t>
      </w:r>
    </w:p>
    <w:tbl>
      <w:tblPr>
        <w:tblW w:w="6889" w:type="dxa"/>
        <w:jc w:val="center"/>
        <w:tblLayout w:type="fixed"/>
        <w:tblCellMar>
          <w:left w:w="70" w:type="dxa"/>
          <w:right w:w="70" w:type="dxa"/>
        </w:tblCellMar>
        <w:tblLook w:val="0000"/>
      </w:tblPr>
      <w:tblGrid>
        <w:gridCol w:w="2091"/>
        <w:gridCol w:w="1722"/>
        <w:gridCol w:w="984"/>
        <w:gridCol w:w="1107"/>
        <w:gridCol w:w="985"/>
      </w:tblGrid>
      <w:tr>
        <w:trPr>
          <w:jc w:val="center"/>
        </w:trPr>
        <w:tc>
          <w:tcPr>
            <w:tcW w:w="2091" w:type="dxa"/>
            <w:tcBorders>
              <w:top w:val="single" w:sz="12" w:space="0" w:color="000000"/>
              <w:bottom w:val="single" w:sz="6" w:space="0" w:color="000000"/>
            </w:tcBorders>
          </w:tcPr>
          <w:p>
            <w:pPr>
              <w:ind w:firstLine="0"/>
              <w:jc w:val="left"/>
              <w:rPr>
                <w:sz w:val="18"/>
                <w:szCs w:val="18"/>
              </w:rPr>
            </w:pPr>
            <w:r>
              <w:rPr>
                <w:sz w:val="18"/>
                <w:szCs w:val="18"/>
              </w:rPr>
              <w:t xml:space="preserve">Setting </w:t>
            </w:r>
          </w:p>
        </w:tc>
        <w:tc>
          <w:tcPr>
            <w:tcW w:w="1722" w:type="dxa"/>
            <w:tcBorders>
              <w:top w:val="single" w:sz="12" w:space="0" w:color="000000"/>
              <w:bottom w:val="single" w:sz="6" w:space="0" w:color="000000"/>
            </w:tcBorders>
          </w:tcPr>
          <w:p>
            <w:pPr>
              <w:ind w:firstLine="0"/>
              <w:jc w:val="center"/>
              <w:rPr>
                <w:sz w:val="18"/>
                <w:szCs w:val="18"/>
              </w:rPr>
            </w:pPr>
            <w:r>
              <w:rPr>
                <w:sz w:val="18"/>
                <w:szCs w:val="18"/>
              </w:rPr>
              <w:t xml:space="preserve"> Color err. ↓ </w:t>
            </w:r>
          </w:p>
        </w:tc>
        <w:tc>
          <w:tcPr>
            <w:tcW w:w="984" w:type="dxa"/>
            <w:tcBorders>
              <w:top w:val="single" w:sz="12" w:space="0" w:color="000000"/>
              <w:bottom w:val="single" w:sz="6" w:space="0" w:color="000000"/>
            </w:tcBorders>
          </w:tcPr>
          <w:p>
            <w:pPr>
              <w:ind w:firstLine="0"/>
              <w:jc w:val="center"/>
              <w:rPr>
                <w:sz w:val="18"/>
                <w:szCs w:val="18"/>
              </w:rPr>
            </w:pPr>
            <w:r>
              <w:rPr>
                <w:sz w:val="18"/>
                <w:szCs w:val="18"/>
              </w:rPr>
              <w:t xml:space="preserve"> PSNR ↑ </w:t>
            </w:r>
          </w:p>
        </w:tc>
        <w:tc>
          <w:tcPr>
            <w:tcW w:w="1107" w:type="dxa"/>
            <w:tcBorders>
              <w:top w:val="single" w:sz="12" w:space="0" w:color="000000"/>
              <w:bottom w:val="single" w:sz="6" w:space="0" w:color="000000"/>
            </w:tcBorders>
          </w:tcPr>
          <w:p>
            <w:pPr>
              <w:ind w:firstLine="0"/>
              <w:jc w:val="center"/>
              <w:rPr>
                <w:sz w:val="18"/>
                <w:szCs w:val="18"/>
              </w:rPr>
            </w:pPr>
            <w:r>
              <w:rPr>
                <w:sz w:val="18"/>
                <w:szCs w:val="18"/>
              </w:rPr>
              <w:t xml:space="preserve"> LPIPS ↓ </w:t>
            </w:r>
          </w:p>
        </w:tc>
        <w:tc>
          <w:tcPr>
            <w:tcW w:w="985" w:type="dxa"/>
            <w:tcBorders>
              <w:top w:val="single" w:sz="12" w:space="0" w:color="000000"/>
              <w:bottom w:val="single" w:sz="6" w:space="0" w:color="000000"/>
            </w:tcBorders>
          </w:tcPr>
          <w:p>
            <w:pPr>
              <w:ind w:firstLine="0"/>
              <w:jc w:val="center"/>
              <w:rPr>
                <w:sz w:val="18"/>
                <w:szCs w:val="18"/>
              </w:rPr>
            </w:pPr>
            <w:r>
              <w:rPr>
                <w:sz w:val="18"/>
                <w:szCs w:val="18"/>
              </w:rPr>
              <w:t xml:space="preserve"> FID ↓ </w:t>
            </w:r>
          </w:p>
        </w:tc>
      </w:tr>
      <w:tr>
        <w:trPr>
          <w:jc w:val="center"/>
        </w:trPr>
        <w:tc>
          <w:tcPr>
            <w:tcW w:w="2091" w:type="dxa"/>
          </w:tcPr>
          <w:p>
            <w:pPr>
              <w:ind w:firstLine="0"/>
              <w:jc w:val="left"/>
              <w:rPr>
                <w:sz w:val="18"/>
                <w:szCs w:val="18"/>
              </w:rPr>
            </w:pPr>
            <w:r>
              <w:rPr>
                <w:sz w:val="18"/>
                <w:szCs w:val="18"/>
              </w:rPr>
              <w:t xml:space="preserve">no GCC           </w:t>
            </w:r>
          </w:p>
        </w:tc>
        <w:tc>
          <w:tcPr>
            <w:tcW w:w="1722" w:type="dxa"/>
          </w:tcPr>
          <w:p>
            <w:pPr>
              <w:ind w:firstLine="0"/>
              <w:jc w:val="center"/>
              <w:rPr>
                <w:sz w:val="18"/>
                <w:szCs w:val="18"/>
              </w:rPr>
            </w:pPr>
            <w:r>
              <w:rPr>
                <w:sz w:val="18"/>
                <w:szCs w:val="18"/>
              </w:rPr>
              <w:t xml:space="preserve"> 0.4833 </w:t>
            </w:r>
          </w:p>
        </w:tc>
        <w:tc>
          <w:tcPr>
            <w:tcW w:w="984" w:type="dxa"/>
          </w:tcPr>
          <w:p>
            <w:pPr>
              <w:ind w:firstLine="0"/>
              <w:jc w:val="center"/>
              <w:rPr>
                <w:sz w:val="18"/>
                <w:szCs w:val="18"/>
              </w:rPr>
            </w:pPr>
            <w:r>
              <w:rPr>
                <w:sz w:val="18"/>
                <w:szCs w:val="18"/>
              </w:rPr>
              <w:t xml:space="preserve"> 23.857 </w:t>
            </w:r>
          </w:p>
        </w:tc>
        <w:tc>
          <w:tcPr>
            <w:tcW w:w="1107" w:type="dxa"/>
          </w:tcPr>
          <w:p>
            <w:pPr>
              <w:ind w:firstLine="0"/>
              <w:jc w:val="center"/>
              <w:rPr>
                <w:sz w:val="18"/>
                <w:szCs w:val="18"/>
              </w:rPr>
            </w:pPr>
            <w:r>
              <w:rPr>
                <w:sz w:val="18"/>
                <w:szCs w:val="18"/>
              </w:rPr>
              <w:t xml:space="preserve"> </w:t>
            </w:r>
            <w:r>
              <w:rPr>
                <w:sz w:val="18"/>
                <w:szCs w:val="18"/>
                <w:b/>
              </w:rPr>
              <w:t xml:space="preserve">0.0612</w:t>
            </w:r>
            <w:r>
              <w:rPr>
                <w:sz w:val="18"/>
                <w:szCs w:val="18"/>
              </w:rPr>
              <w:t xml:space="preserve"> </w:t>
            </w:r>
          </w:p>
        </w:tc>
        <w:tc>
          <w:tcPr>
            <w:tcW w:w="985" w:type="dxa"/>
          </w:tcPr>
          <w:p>
            <w:pPr>
              <w:ind w:firstLine="0"/>
              <w:jc w:val="center"/>
              <w:rPr>
                <w:sz w:val="18"/>
                <w:szCs w:val="18"/>
              </w:rPr>
            </w:pPr>
            <w:r>
              <w:rPr>
                <w:sz w:val="18"/>
                <w:szCs w:val="18"/>
              </w:rPr>
              <w:t xml:space="preserve"> 111.51 </w:t>
            </w:r>
          </w:p>
        </w:tc>
      </w:tr>
      <w:tr>
        <w:trPr>
          <w:jc w:val="center"/>
        </w:trPr>
        <w:tc>
          <w:tcPr>
            <w:tcW w:w="2091" w:type="dxa"/>
          </w:tcPr>
          <w:p>
            <w:pPr>
              <w:ind w:firstLine="0"/>
              <w:jc w:val="left"/>
              <w:rPr>
                <w:sz w:val="18"/>
                <w:szCs w:val="18"/>
              </w:rPr>
            </w:pPr>
            <w:r>
              <w:rPr>
                <w:sz w:val="18"/>
                <w:szCs w:val="18"/>
              </w:rPr>
              <w:t xml:space="preserve">λ= 0.01 </w:t>
            </w:r>
          </w:p>
        </w:tc>
        <w:tc>
          <w:tcPr>
            <w:tcW w:w="1722" w:type="dxa"/>
          </w:tcPr>
          <w:p>
            <w:pPr>
              <w:ind w:firstLine="0"/>
              <w:jc w:val="center"/>
              <w:rPr>
                <w:sz w:val="18"/>
                <w:szCs w:val="18"/>
              </w:rPr>
            </w:pPr>
            <w:r>
              <w:rPr>
                <w:sz w:val="18"/>
                <w:szCs w:val="18"/>
              </w:rPr>
              <w:t xml:space="preserve"> 0.3382 </w:t>
            </w:r>
          </w:p>
        </w:tc>
        <w:tc>
          <w:tcPr>
            <w:tcW w:w="984" w:type="dxa"/>
          </w:tcPr>
          <w:p>
            <w:pPr>
              <w:ind w:firstLine="0"/>
              <w:jc w:val="center"/>
              <w:rPr>
                <w:sz w:val="18"/>
                <w:szCs w:val="18"/>
              </w:rPr>
            </w:pPr>
            <w:r>
              <w:rPr>
                <w:sz w:val="18"/>
                <w:szCs w:val="18"/>
              </w:rPr>
              <w:t xml:space="preserve"> </w:t>
            </w:r>
            <w:r>
              <w:rPr>
                <w:sz w:val="18"/>
                <w:szCs w:val="18"/>
                <w:b/>
              </w:rPr>
              <w:t xml:space="preserve">23.955</w:t>
            </w:r>
            <w:r>
              <w:rPr>
                <w:sz w:val="18"/>
                <w:szCs w:val="18"/>
              </w:rPr>
              <w:t xml:space="preserve"> </w:t>
            </w:r>
          </w:p>
        </w:tc>
        <w:tc>
          <w:tcPr>
            <w:tcW w:w="1107" w:type="dxa"/>
          </w:tcPr>
          <w:p>
            <w:pPr>
              <w:ind w:firstLine="0"/>
              <w:jc w:val="center"/>
              <w:rPr>
                <w:sz w:val="18"/>
                <w:szCs w:val="18"/>
              </w:rPr>
            </w:pPr>
            <w:r>
              <w:rPr>
                <w:sz w:val="18"/>
                <w:szCs w:val="18"/>
              </w:rPr>
              <w:t xml:space="preserve"> 0.0635 </w:t>
            </w:r>
          </w:p>
        </w:tc>
        <w:tc>
          <w:tcPr>
            <w:tcW w:w="985" w:type="dxa"/>
          </w:tcPr>
          <w:p>
            <w:pPr>
              <w:ind w:firstLine="0"/>
              <w:jc w:val="center"/>
              <w:rPr>
                <w:sz w:val="18"/>
                <w:szCs w:val="18"/>
              </w:rPr>
            </w:pPr>
            <w:r>
              <w:rPr>
                <w:sz w:val="18"/>
                <w:szCs w:val="18"/>
              </w:rPr>
              <w:t xml:space="preserve"> </w:t>
            </w:r>
            <w:r>
              <w:rPr>
                <w:sz w:val="18"/>
                <w:szCs w:val="18"/>
                <w:b/>
              </w:rPr>
              <w:t xml:space="preserve">109.11</w:t>
            </w:r>
            <w:r>
              <w:rPr>
                <w:sz w:val="18"/>
                <w:szCs w:val="18"/>
              </w:rPr>
              <w:t xml:space="preserve"> </w:t>
            </w:r>
          </w:p>
        </w:tc>
      </w:tr>
      <w:tr>
        <w:trPr>
          <w:jc w:val="center"/>
        </w:trPr>
        <w:tc>
          <w:tcPr>
            <w:tcW w:w="2091" w:type="dxa"/>
          </w:tcPr>
          <w:p>
            <w:pPr>
              <w:ind w:firstLine="0"/>
              <w:jc w:val="left"/>
              <w:rPr>
                <w:sz w:val="18"/>
                <w:szCs w:val="18"/>
              </w:rPr>
            </w:pPr>
            <w:r>
              <w:rPr>
                <w:sz w:val="18"/>
                <w:szCs w:val="18"/>
              </w:rPr>
              <w:t xml:space="preserve">λ= 0.1  </w:t>
            </w:r>
          </w:p>
        </w:tc>
        <w:tc>
          <w:tcPr>
            <w:tcW w:w="1722" w:type="dxa"/>
          </w:tcPr>
          <w:p>
            <w:pPr>
              <w:ind w:firstLine="0"/>
              <w:jc w:val="center"/>
              <w:rPr>
                <w:sz w:val="18"/>
                <w:szCs w:val="18"/>
              </w:rPr>
            </w:pPr>
            <w:r>
              <w:rPr>
                <w:sz w:val="18"/>
                <w:szCs w:val="18"/>
              </w:rPr>
              <w:t xml:space="preserve"> </w:t>
            </w:r>
            <w:r>
              <w:rPr>
                <w:sz w:val="18"/>
                <w:szCs w:val="18"/>
                <w:b/>
              </w:rPr>
              <w:t xml:space="preserve">0.1952</w:t>
            </w:r>
            <w:r>
              <w:rPr>
                <w:sz w:val="18"/>
                <w:szCs w:val="18"/>
              </w:rPr>
              <w:t xml:space="preserve"> </w:t>
            </w:r>
          </w:p>
        </w:tc>
        <w:tc>
          <w:tcPr>
            <w:tcW w:w="984" w:type="dxa"/>
          </w:tcPr>
          <w:p>
            <w:pPr>
              <w:ind w:firstLine="0"/>
              <w:jc w:val="center"/>
              <w:rPr>
                <w:sz w:val="18"/>
                <w:szCs w:val="18"/>
              </w:rPr>
            </w:pPr>
            <w:r>
              <w:rPr>
                <w:sz w:val="18"/>
                <w:szCs w:val="18"/>
              </w:rPr>
              <w:t xml:space="preserve"> 23.941 </w:t>
            </w:r>
          </w:p>
        </w:tc>
        <w:tc>
          <w:tcPr>
            <w:tcW w:w="1107" w:type="dxa"/>
          </w:tcPr>
          <w:p>
            <w:pPr>
              <w:ind w:firstLine="0"/>
              <w:jc w:val="center"/>
              <w:rPr>
                <w:sz w:val="18"/>
                <w:szCs w:val="18"/>
              </w:rPr>
            </w:pPr>
            <w:r>
              <w:rPr>
                <w:sz w:val="18"/>
                <w:szCs w:val="18"/>
              </w:rPr>
              <w:t xml:space="preserve"> 0.0653 </w:t>
            </w:r>
          </w:p>
        </w:tc>
        <w:tc>
          <w:tcPr>
            <w:tcW w:w="985" w:type="dxa"/>
          </w:tcPr>
          <w:p>
            <w:pPr>
              <w:ind w:firstLine="0"/>
              <w:jc w:val="center"/>
              <w:rPr>
                <w:sz w:val="18"/>
                <w:szCs w:val="18"/>
              </w:rPr>
            </w:pPr>
            <w:r>
              <w:rPr>
                <w:sz w:val="18"/>
                <w:szCs w:val="18"/>
              </w:rPr>
              <w:t xml:space="preserve"> 110.43 </w:t>
            </w:r>
          </w:p>
        </w:tc>
      </w:tr>
      <w:tr>
        <w:trPr>
          <w:jc w:val="center"/>
        </w:trPr>
        <w:tc>
          <w:tcPr>
            <w:tcW w:w="2091" w:type="dxa"/>
          </w:tcPr>
          <w:p>
            <w:pPr>
              <w:ind w:firstLine="0"/>
              <w:jc w:val="left"/>
              <w:rPr>
                <w:sz w:val="18"/>
                <w:szCs w:val="18"/>
              </w:rPr>
            </w:pPr>
            <w:r>
              <w:rPr>
                <w:sz w:val="18"/>
                <w:szCs w:val="18"/>
              </w:rPr>
              <w:t xml:space="preserve">λ= 0.5  </w:t>
            </w:r>
          </w:p>
        </w:tc>
        <w:tc>
          <w:tcPr>
            <w:tcW w:w="1722" w:type="dxa"/>
          </w:tcPr>
          <w:p>
            <w:pPr>
              <w:ind w:firstLine="0"/>
              <w:jc w:val="center"/>
              <w:rPr>
                <w:sz w:val="18"/>
                <w:szCs w:val="18"/>
              </w:rPr>
            </w:pPr>
            <w:r>
              <w:rPr>
                <w:sz w:val="18"/>
                <w:szCs w:val="18"/>
              </w:rPr>
              <w:t xml:space="preserve"> 0.4985 </w:t>
            </w:r>
          </w:p>
        </w:tc>
        <w:tc>
          <w:tcPr>
            <w:tcW w:w="984" w:type="dxa"/>
          </w:tcPr>
          <w:p>
            <w:pPr>
              <w:ind w:firstLine="0"/>
              <w:jc w:val="center"/>
              <w:rPr>
                <w:sz w:val="18"/>
                <w:szCs w:val="18"/>
              </w:rPr>
            </w:pPr>
            <w:r>
              <w:rPr>
                <w:sz w:val="18"/>
                <w:szCs w:val="18"/>
              </w:rPr>
              <w:t xml:space="preserve"> 23.721 </w:t>
            </w:r>
          </w:p>
        </w:tc>
        <w:tc>
          <w:tcPr>
            <w:tcW w:w="1107" w:type="dxa"/>
          </w:tcPr>
          <w:p>
            <w:pPr>
              <w:ind w:firstLine="0"/>
              <w:jc w:val="center"/>
              <w:rPr>
                <w:sz w:val="18"/>
                <w:szCs w:val="18"/>
              </w:rPr>
            </w:pPr>
            <w:r>
              <w:rPr>
                <w:sz w:val="18"/>
                <w:szCs w:val="18"/>
              </w:rPr>
              <w:t xml:space="preserve"> 0.0665 </w:t>
            </w:r>
          </w:p>
        </w:tc>
        <w:tc>
          <w:tcPr>
            <w:tcW w:w="985" w:type="dxa"/>
          </w:tcPr>
          <w:p>
            <w:pPr>
              <w:ind w:firstLine="0"/>
              <w:jc w:val="center"/>
              <w:rPr>
                <w:sz w:val="18"/>
                <w:szCs w:val="18"/>
              </w:rPr>
            </w:pPr>
            <w:r>
              <w:rPr>
                <w:sz w:val="18"/>
                <w:szCs w:val="18"/>
              </w:rPr>
              <w:t xml:space="preserve"> 115.43 </w:t>
            </w:r>
          </w:p>
        </w:tc>
      </w:tr>
      <w:tr>
        <w:trPr>
          <w:jc w:val="center"/>
        </w:trPr>
        <w:tc>
          <w:tcPr>
            <w:tcW w:w="2091" w:type="dxa"/>
            <w:tcBorders>
              <w:bottom w:val="single" w:sz="6" w:space="0" w:color="000000"/>
            </w:tcBorders>
          </w:tcPr>
          <w:p>
            <w:pPr>
              <w:ind w:firstLine="0"/>
              <w:jc w:val="left"/>
              <w:rPr>
                <w:sz w:val="18"/>
                <w:szCs w:val="18"/>
              </w:rPr>
            </w:pPr>
            <w:r>
              <w:rPr>
                <w:sz w:val="18"/>
                <w:szCs w:val="18"/>
              </w:rPr>
              <w:t xml:space="preserve">λ= 1.0  </w:t>
            </w:r>
          </w:p>
        </w:tc>
        <w:tc>
          <w:tcPr>
            <w:tcW w:w="1722" w:type="dxa"/>
            <w:tcBorders>
              <w:bottom w:val="single" w:sz="6" w:space="0" w:color="000000"/>
            </w:tcBorders>
          </w:tcPr>
          <w:p>
            <w:pPr>
              <w:ind w:firstLine="0"/>
              <w:jc w:val="center"/>
              <w:rPr>
                <w:sz w:val="18"/>
                <w:szCs w:val="18"/>
              </w:rPr>
            </w:pPr>
            <w:r>
              <w:rPr>
                <w:sz w:val="18"/>
                <w:szCs w:val="18"/>
              </w:rPr>
              <w:t xml:space="preserve"> 0.2162 </w:t>
            </w:r>
          </w:p>
        </w:tc>
        <w:tc>
          <w:tcPr>
            <w:tcW w:w="984" w:type="dxa"/>
            <w:tcBorders>
              <w:bottom w:val="single" w:sz="6" w:space="0" w:color="000000"/>
            </w:tcBorders>
          </w:tcPr>
          <w:p>
            <w:pPr>
              <w:ind w:firstLine="0"/>
              <w:jc w:val="center"/>
              <w:rPr>
                <w:sz w:val="18"/>
                <w:szCs w:val="18"/>
              </w:rPr>
            </w:pPr>
            <w:r>
              <w:rPr>
                <w:sz w:val="18"/>
                <w:szCs w:val="18"/>
              </w:rPr>
              <w:t xml:space="preserve"> 23.727 </w:t>
            </w:r>
          </w:p>
        </w:tc>
        <w:tc>
          <w:tcPr>
            <w:tcW w:w="1107" w:type="dxa"/>
            <w:tcBorders>
              <w:bottom w:val="single" w:sz="6" w:space="0" w:color="000000"/>
            </w:tcBorders>
          </w:tcPr>
          <w:p>
            <w:pPr>
              <w:ind w:firstLine="0"/>
              <w:jc w:val="center"/>
              <w:rPr>
                <w:sz w:val="18"/>
                <w:szCs w:val="18"/>
              </w:rPr>
            </w:pPr>
            <w:r>
              <w:rPr>
                <w:sz w:val="18"/>
                <w:szCs w:val="18"/>
              </w:rPr>
              <w:t xml:space="preserve"> 0.0680 </w:t>
            </w:r>
          </w:p>
        </w:tc>
        <w:tc>
          <w:tcPr>
            <w:tcW w:w="985" w:type="dxa"/>
            <w:tcBorders>
              <w:bottom w:val="single" w:sz="6" w:space="0" w:color="000000"/>
            </w:tcBorders>
          </w:tcPr>
          <w:p>
            <w:pPr>
              <w:ind w:firstLine="0"/>
              <w:jc w:val="center"/>
              <w:rPr>
                <w:sz w:val="18"/>
                <w:szCs w:val="18"/>
              </w:rPr>
            </w:pPr>
            <w:r>
              <w:rPr>
                <w:sz w:val="18"/>
                <w:szCs w:val="18"/>
              </w:rPr>
              <w:t xml:space="preserve"> 116.71 </w:t>
            </w:r>
          </w:p>
        </w:tc>
      </w:tr>
      <w:tr>
        <w:trPr>
          <w:jc w:val="center"/>
        </w:trPr>
        <w:tc>
          <w:tcPr>
            <w:tcW w:w="2091" w:type="dxa"/>
          </w:tcPr>
          <w:p>
            <w:pPr>
              <w:ind w:firstLine="0"/>
              <w:jc w:val="left"/>
              <w:rPr>
                <w:sz w:val="18"/>
                <w:szCs w:val="18"/>
              </w:rPr>
            </w:pPr>
            <w:r>
              <w:rPr>
                <w:sz w:val="18"/>
                <w:szCs w:val="18"/>
                <w:i/>
              </w:rPr>
              <w:t xml:space="preserve">k</w:t>
            </w:r>
            <w:r>
              <w:rPr>
                <w:sz w:val="18"/>
                <w:szCs w:val="18"/>
              </w:rPr>
              <w:t xml:space="preserve"> = 4          </w:t>
            </w:r>
          </w:p>
        </w:tc>
        <w:tc>
          <w:tcPr>
            <w:tcW w:w="1722" w:type="dxa"/>
          </w:tcPr>
          <w:p>
            <w:pPr>
              <w:ind w:firstLine="0"/>
              <w:jc w:val="center"/>
              <w:rPr>
                <w:sz w:val="18"/>
                <w:szCs w:val="18"/>
              </w:rPr>
            </w:pPr>
            <w:r>
              <w:rPr>
                <w:sz w:val="18"/>
                <w:szCs w:val="18"/>
              </w:rPr>
              <w:t xml:space="preserve"> 0.3385 </w:t>
            </w:r>
          </w:p>
        </w:tc>
        <w:tc>
          <w:tcPr>
            <w:tcW w:w="984" w:type="dxa"/>
          </w:tcPr>
          <w:p>
            <w:pPr>
              <w:ind w:firstLine="0"/>
              <w:jc w:val="center"/>
              <w:rPr>
                <w:sz w:val="18"/>
                <w:szCs w:val="18"/>
              </w:rPr>
            </w:pPr>
            <w:r>
              <w:rPr>
                <w:sz w:val="18"/>
                <w:szCs w:val="18"/>
              </w:rPr>
              <w:t xml:space="preserve"> 23.839 </w:t>
            </w:r>
          </w:p>
        </w:tc>
        <w:tc>
          <w:tcPr>
            <w:tcW w:w="1107" w:type="dxa"/>
          </w:tcPr>
          <w:p>
            <w:pPr>
              <w:ind w:firstLine="0"/>
              <w:jc w:val="center"/>
              <w:rPr>
                <w:sz w:val="18"/>
                <w:szCs w:val="18"/>
              </w:rPr>
            </w:pPr>
            <w:r>
              <w:rPr>
                <w:sz w:val="18"/>
                <w:szCs w:val="18"/>
              </w:rPr>
              <w:t xml:space="preserve"> 0.0641 </w:t>
            </w:r>
          </w:p>
        </w:tc>
        <w:tc>
          <w:tcPr>
            <w:tcW w:w="985" w:type="dxa"/>
          </w:tcPr>
          <w:p>
            <w:pPr>
              <w:ind w:firstLine="0"/>
              <w:jc w:val="center"/>
              <w:rPr>
                <w:sz w:val="18"/>
                <w:szCs w:val="18"/>
              </w:rPr>
            </w:pPr>
            <w:r>
              <w:rPr>
                <w:sz w:val="18"/>
                <w:szCs w:val="18"/>
              </w:rPr>
              <w:t xml:space="preserve"> 112.47 </w:t>
            </w:r>
          </w:p>
        </w:tc>
      </w:tr>
      <w:tr>
        <w:trPr>
          <w:jc w:val="center"/>
        </w:trPr>
        <w:tc>
          <w:tcPr>
            <w:tcW w:w="2091" w:type="dxa"/>
            <w:tcBorders>
              <w:bottom w:val="single" w:sz="12" w:space="0" w:color="000000"/>
            </w:tcBorders>
          </w:tcPr>
          <w:p>
            <w:pPr>
              <w:ind w:firstLine="0"/>
              <w:jc w:val="left"/>
              <w:rPr>
                <w:sz w:val="18"/>
                <w:szCs w:val="18"/>
              </w:rPr>
            </w:pPr>
            <w:r>
              <w:rPr>
                <w:sz w:val="18"/>
                <w:szCs w:val="18"/>
                <w:i/>
              </w:rPr>
              <w:t xml:space="preserve">k</w:t>
            </w:r>
            <w:r>
              <w:rPr>
                <w:sz w:val="18"/>
                <w:szCs w:val="18"/>
              </w:rPr>
              <w:t xml:space="preserve"> = 16         </w:t>
            </w:r>
          </w:p>
        </w:tc>
        <w:tc>
          <w:tcPr>
            <w:tcW w:w="1722" w:type="dxa"/>
            <w:tcBorders>
              <w:bottom w:val="single" w:sz="12" w:space="0" w:color="000000"/>
            </w:tcBorders>
          </w:tcPr>
          <w:p>
            <w:pPr>
              <w:ind w:firstLine="0"/>
              <w:jc w:val="center"/>
              <w:rPr>
                <w:sz w:val="18"/>
                <w:szCs w:val="18"/>
              </w:rPr>
            </w:pPr>
            <w:r>
              <w:rPr>
                <w:sz w:val="18"/>
                <w:szCs w:val="18"/>
              </w:rPr>
              <w:t xml:space="preserve"> 0.3522 </w:t>
            </w:r>
          </w:p>
        </w:tc>
        <w:tc>
          <w:tcPr>
            <w:tcW w:w="984" w:type="dxa"/>
            <w:tcBorders>
              <w:bottom w:val="single" w:sz="12" w:space="0" w:color="000000"/>
            </w:tcBorders>
          </w:tcPr>
          <w:p>
            <w:pPr>
              <w:ind w:firstLine="0"/>
              <w:jc w:val="center"/>
              <w:rPr>
                <w:sz w:val="18"/>
                <w:szCs w:val="18"/>
              </w:rPr>
            </w:pPr>
            <w:r>
              <w:rPr>
                <w:sz w:val="18"/>
                <w:szCs w:val="18"/>
              </w:rPr>
              <w:t xml:space="preserve"> 23.919 </w:t>
            </w:r>
          </w:p>
        </w:tc>
        <w:tc>
          <w:tcPr>
            <w:tcW w:w="1107" w:type="dxa"/>
            <w:tcBorders>
              <w:bottom w:val="single" w:sz="12" w:space="0" w:color="000000"/>
            </w:tcBorders>
          </w:tcPr>
          <w:p>
            <w:pPr>
              <w:ind w:firstLine="0"/>
              <w:jc w:val="center"/>
              <w:rPr>
                <w:sz w:val="18"/>
                <w:szCs w:val="18"/>
              </w:rPr>
            </w:pPr>
            <w:r>
              <w:rPr>
                <w:sz w:val="18"/>
                <w:szCs w:val="18"/>
              </w:rPr>
              <w:t xml:space="preserve"> 0.0658 </w:t>
            </w:r>
          </w:p>
        </w:tc>
        <w:tc>
          <w:tcPr>
            <w:tcW w:w="985" w:type="dxa"/>
            <w:tcBorders>
              <w:bottom w:val="single" w:sz="12" w:space="0" w:color="000000"/>
            </w:tcBorders>
          </w:tcPr>
          <w:p>
            <w:pPr>
              <w:ind w:firstLine="0"/>
              <w:jc w:val="center"/>
              <w:rPr>
                <w:sz w:val="18"/>
                <w:szCs w:val="18"/>
              </w:rPr>
            </w:pPr>
            <w:r>
              <w:rPr>
                <w:sz w:val="18"/>
                <w:szCs w:val="18"/>
              </w:rPr>
              <w:t xml:space="preserve"> 111.05 </w:t>
            </w:r>
          </w:p>
        </w:tc>
      </w:tr>
    </w:tbl>
    <w:p>
      <w:pPr>
        <w:pStyle w:val="heading 3"/>
      </w:pPr>
      <w:r>
        <w:rPr>
          <w:rStyle w:val="heading3"/>
          <w:b/>
        </w:rPr>
        <w:t xml:space="preserve">Scale.</w:t>
      </w:r>
      <w:r>
        <w:rPr>
          <w:rStyle w:val="heading3"/>
          <w:b/>
        </w:rPr>
        <w:t xml:space="preserve"> </w:t>
      </w:r>
      <w:r>
        <w:rPr>
          <w:b w:val="0"/>
        </w:rPr>
        <w:t xml:space="preserve">Repeating the experiment with 8× the data (25,000 images) and Stage 1 at full capacity, on an identical test split, improves absolute quality substantially: PSNR 25.03 → 25.43, LR-PSNR 44.66 → 47.63, FID 66.70 → 61.83. The GCC benefit falls to −13.3%, but only because the baseline now drifts less (0.4494 → 0.2948); CC-ResDiff's own color error (0.2555) stays inside its usual band. This is a fifth confirmation of the bounding behaviour, obtained under conditions chosen to break it.</w:t>
      </w:r>
    </w:p>
    <w:p>
      <w:pPr>
        <w:pStyle w:val="heading 3"/>
      </w:pPr>
      <w:r>
        <w:rPr>
          <w:rStyle w:val="heading3"/>
          <w:b/>
        </w:rPr>
        <w:t xml:space="preserve">DIV2K.</w:t>
      </w:r>
      <w:r>
        <w:rPr>
          <w:rStyle w:val="heading3"/>
          <w:b/>
        </w:rPr>
        <w:t xml:space="preserve"> </w:t>
      </w:r>
      <w:r>
        <w:rPr>
          <w:b w:val="0"/>
        </w:rPr>
        <w:t xml:space="preserve">At matched scale on DIV2K [18], color error rises from 0.1650 to 0.2036 and every other sign flips relative to CelebA. Read against Section 4.1 this is not a separate phenomenon: DIV2K's baseline sits in the low-drift band alongside CelebA seed C (0.1397), so there is nothing to recover, and CC-ResDiff's own value again lands in its usual range. Per tile, CC-ResDiff has lower color error on 171/512 DIV2K tiles (33.4%) against 298/300 CelebA images (99.3%); on DIV2K the two arms are visually indistinguishable. Figure 1 shows CelebA examples, where the effect is present.</w:t>
      </w:r>
    </w:p>
    <w:p>
      <w:pPr>
        <w:pStyle w:val="heading1"/>
      </w:pPr>
      <w:r>
        <w:t xml:space="preserve">Limitations</w:t>
      </w:r>
    </w:p>
    <w:p>
      <w:pPr>
        <w:pStyle w:val="p1a"/>
      </w:pPr>
      <w:r>
        <w:t xml:space="preserve">Our experiments use 3,000 CelebA images at 64 × 64 with a 2.28M-parameter diffusion model, and 25,000 at the larger tier—far below the resolutions and model sizes used by SRDiff and ResDiff, so whether the effect persists there is untested. We have three seeds on the main CelebA tier and one run each on the 25k and DIV2K tiers: enough to establish that baseline drift varies widely while CC-ResDiff's does not, but not to characterise either distribution or to place a confidence interval on the bound. We have no DIV2K noise floor, so the +23.4% there is not established as statistically real. FID over 300 images is biased upward and meaningful only as a relative comparison on identical images, and DIV2K metrics cover image interiors because partial edge tiles are dropped at packing time. The effect size is small in absolute terms—a sub-one-level shift in mean channel intensity—and we cannot predict in advance which training configurations will drift.</w:t>
      </w:r>
    </w:p>
    <w:p>
      <w:pPr>
        <w:pStyle w:val="heading1"/>
      </w:pPr>
      <w:r>
        <w:t xml:space="preserve">Conclusion</w:t>
      </w:r>
    </w:p>
    <w:p>
      <w:pPr>
        <w:pStyle w:val="p1a"/>
      </w:pPr>
      <w:r>
        <w:t xml:space="preserve">We implemented the global color feature that ResDiff identified as future work and, in characterising it, arrived at a different claim than we set out to make. The reliable finding is that </w:t>
      </w:r>
      <w:r>
        <w:rPr>
          <w:i/>
        </w:rPr>
        <w:t xml:space="preserve">baseline</w:t>
      </w:r>
      <w:r>
        <w:t xml:space="preserve"> color drift in residual diffusion SISR is strongly seed-dependent, varying sixfold across identical configurations—which makes single-run comparisons of color-consistency methods unreliable, our own first run included. Against that variability the GCC loss is a stabiliser: it confines color error to a narrow band in every run we performed, on both datasets and at both data scales, at no parameter or inference cost. What it buys is predictability rather than average improvement, and it costs a consistent FID regression that we report and could not explain. Two results were not what we expected: the implicit timestep weighting an auxiliary </w:t>
      </w:r>
      <w:r>
        <w:rPr>
          <w:i/>
        </w:rPr>
        <w:t xml:space="preserve">x</w:t>
      </w:r>
      <w:r>
        <w:rPr>
          <w:vertAlign w:val="subscript"/>
        </w:rPr>
        <w:t xml:space="preserve">0</w:t>
      </w:r>
      <w:r>
        <w:t xml:space="preserve"> loss inherits proved to be the source of the benefit rather than a flaw, and our mechanism-based account of the FID regression was falsified by the same ablation. Establishing confidence intervals on the bound, and predicting which configurations drift, are the natural next steps.</w:t>
      </w:r>
    </w:p>
    <w:p>
      <w:pPr>
        <w:pStyle w:val="heading1"/>
        <w:numPr>
          <w:ilvl w:val="0"/>
          <w:numId w:val="0"/>
        </w:numPr>
      </w:pPr>
      <w:r>
        <w:t xml:space="preserve">References</w:t>
      </w:r>
    </w:p>
    <w:p>
      <w:pPr>
        <w:pStyle w:val="referenceitem"/>
      </w:pPr>
      <w:r>
        <w:t xml:space="preserve">S. Shang et al. ResDiff: Combining CNN and Diffusion Model for Image Super-Resolution. </w:t>
      </w:r>
      <w:r>
        <w:rPr>
          <w:i/>
        </w:rPr>
        <w:t xml:space="preserve">AAAI</w:t>
      </w:r>
      <w:r>
        <w:t xml:space="preserve">, 2024.</w:t>
      </w:r>
    </w:p>
    <w:p>
      <w:pPr>
        <w:pStyle w:val="referenceitem"/>
      </w:pPr>
      <w:r>
        <w:t xml:space="preserve">H. Li et al. SRDiff: Single Image Super-Resolution with Diffusion Probabilistic Models. </w:t>
      </w:r>
      <w:r>
        <w:rPr>
          <w:i/>
        </w:rPr>
        <w:t xml:space="preserve">Neurocomputing</w:t>
      </w:r>
      <w:r>
        <w:t xml:space="preserve">, 479:47–59, 2022.</w:t>
      </w:r>
    </w:p>
    <w:p>
      <w:pPr>
        <w:pStyle w:val="referenceitem"/>
      </w:pPr>
      <w:r>
        <w:t xml:space="preserve">C. Saharia et al. Image Super-Resolution via Iterative Refinement. </w:t>
      </w:r>
      <w:r>
        <w:rPr>
          <w:i/>
        </w:rPr>
        <w:t xml:space="preserve">IEEE TPAMI</w:t>
      </w:r>
      <w:r>
        <w:t xml:space="preserve">, 2023.</w:t>
      </w:r>
    </w:p>
    <w:p>
      <w:pPr>
        <w:pStyle w:val="referenceitem"/>
      </w:pPr>
      <w:r>
        <w:t xml:space="preserve">J. Ho, A. Jain and P. Abbeel. Denoising Diffusion Probabilistic Models. </w:t>
      </w:r>
      <w:r>
        <w:rPr>
          <w:i/>
        </w:rPr>
        <w:t xml:space="preserve">NeurIPS</w:t>
      </w:r>
      <w:r>
        <w:t xml:space="preserve">, 2020.</w:t>
      </w:r>
    </w:p>
    <w:p>
      <w:pPr>
        <w:pStyle w:val="referenceitem"/>
      </w:pPr>
      <w:r>
        <w:t xml:space="preserve">A. Nichol and P. Dhariwal. Improved Denoising Diffusion Probabilistic Models. </w:t>
      </w:r>
      <w:r>
        <w:rPr>
          <w:i/>
        </w:rPr>
        <w:t xml:space="preserve">ICML</w:t>
      </w:r>
      <w:r>
        <w:t xml:space="preserve">, 2021.</w:t>
      </w:r>
    </w:p>
    <w:p>
      <w:pPr>
        <w:pStyle w:val="referenceitem"/>
      </w:pPr>
      <w:r>
        <w:t xml:space="preserve">J. Choi et al. Perception Prioritized Training of Diffusion Models. </w:t>
      </w:r>
      <w:r>
        <w:rPr>
          <w:i/>
        </w:rPr>
        <w:t xml:space="preserve">CVPR</w:t>
      </w:r>
      <w:r>
        <w:t xml:space="preserve">, 2022.</w:t>
      </w:r>
    </w:p>
    <w:p>
      <w:pPr>
        <w:pStyle w:val="referenceitem"/>
      </w:pPr>
      <w:r>
        <w:t xml:space="preserve">T. Hang et al. Efficient Diffusion Training via Min-SNR Weighting Strategy. </w:t>
      </w:r>
      <w:r>
        <w:rPr>
          <w:i/>
        </w:rPr>
        <w:t xml:space="preserve">ICCV</w:t>
      </w:r>
      <w:r>
        <w:t xml:space="preserve">, 2023.</w:t>
      </w:r>
    </w:p>
    <w:p>
      <w:pPr>
        <w:pStyle w:val="referenceitem"/>
      </w:pPr>
      <w:r>
        <w:t xml:space="preserve">C. Ledig et al. Photo-Realistic Single Image Super-Resolution Using a Generative Adversarial Network. </w:t>
      </w:r>
      <w:r>
        <w:rPr>
          <w:i/>
        </w:rPr>
        <w:t xml:space="preserve">CVPR</w:t>
      </w:r>
      <w:r>
        <w:t xml:space="preserve">, 2017.</w:t>
      </w:r>
    </w:p>
    <w:p>
      <w:pPr>
        <w:pStyle w:val="referenceitem"/>
      </w:pPr>
      <w:r>
        <w:t xml:space="preserve">X. Wang et al. ESRGAN: Enhanced Super-Resolution Generative Adversarial Networks. </w:t>
      </w:r>
      <w:r>
        <w:rPr>
          <w:i/>
        </w:rPr>
        <w:t xml:space="preserve">ECCV Workshops</w:t>
      </w:r>
      <w:r>
        <w:t xml:space="preserve">, 2018.</w:t>
      </w:r>
    </w:p>
    <w:p>
      <w:pPr>
        <w:pStyle w:val="referenceitem"/>
      </w:pPr>
      <w:r>
        <w:t xml:space="preserve">E. Reinhard et al. Color Transfer between Images. </w:t>
      </w:r>
      <w:r>
        <w:rPr>
          <w:i/>
        </w:rPr>
        <w:t xml:space="preserve">IEEE Computer Graphics and Applications</w:t>
      </w:r>
      <w:r>
        <w:t xml:space="preserve">, 21(5):34–41, 2001.</w:t>
      </w:r>
    </w:p>
    <w:p>
      <w:pPr>
        <w:pStyle w:val="referenceitem"/>
      </w:pPr>
      <w:r>
        <w:t xml:space="preserve">F. Pitié et al. N-Dimensional Probability Density Function Transfer and its Application to Colour Transfer. </w:t>
      </w:r>
      <w:r>
        <w:rPr>
          <w:i/>
        </w:rPr>
        <w:t xml:space="preserve">ICCV</w:t>
      </w:r>
      <w:r>
        <w:t xml:space="preserve">, 2005.</w:t>
      </w:r>
    </w:p>
    <w:p>
      <w:pPr>
        <w:pStyle w:val="referenceitem"/>
      </w:pPr>
      <w:r>
        <w:t xml:space="preserve">J. T. Barron. Convolutional Color Constancy. </w:t>
      </w:r>
      <w:r>
        <w:rPr>
          <w:i/>
        </w:rPr>
        <w:t xml:space="preserve">ICCV</w:t>
      </w:r>
      <w:r>
        <w:t xml:space="preserve">, 2015.</w:t>
      </w:r>
    </w:p>
    <w:p>
      <w:pPr>
        <w:pStyle w:val="referenceitem"/>
      </w:pPr>
      <w:r>
        <w:t xml:space="preserve">M. Afifi et al. When Color Constancy Goes Wrong: Correcting Improperly White-Balanced Images. </w:t>
      </w:r>
      <w:r>
        <w:rPr>
          <w:i/>
        </w:rPr>
        <w:t xml:space="preserve">CVPR</w:t>
      </w:r>
      <w:r>
        <w:t xml:space="preserve">, 2019.</w:t>
      </w:r>
    </w:p>
    <w:p>
      <w:pPr>
        <w:pStyle w:val="referenceitem"/>
      </w:pPr>
      <w:r>
        <w:t xml:space="preserve">M. Heusel et al. GANs Trained by a Two Time-Scale Update Rule Converge to a Local Nash Equilibrium. </w:t>
      </w:r>
      <w:r>
        <w:rPr>
          <w:i/>
        </w:rPr>
        <w:t xml:space="preserve">NeurIPS</w:t>
      </w:r>
      <w:r>
        <w:t xml:space="preserve">, 2017.</w:t>
      </w:r>
    </w:p>
    <w:p>
      <w:pPr>
        <w:pStyle w:val="referenceitem"/>
      </w:pPr>
      <w:r>
        <w:t xml:space="preserve">R. Zhang et al. The Unreasonable Effectiveness of Deep Features as a Perceptual Metric. </w:t>
      </w:r>
      <w:r>
        <w:rPr>
          <w:i/>
        </w:rPr>
        <w:t xml:space="preserve">CVPR</w:t>
      </w:r>
      <w:r>
        <w:t xml:space="preserve">, 2018.</w:t>
      </w:r>
    </w:p>
    <w:p>
      <w:pPr>
        <w:pStyle w:val="referenceitem"/>
      </w:pPr>
      <w:r>
        <w:t xml:space="preserve">Z. Wang et al. Image Quality Assessment: From Error Visibility to Structural Similarity. </w:t>
      </w:r>
      <w:r>
        <w:rPr>
          <w:i/>
        </w:rPr>
        <w:t xml:space="preserve">IEEE TIP</w:t>
      </w:r>
      <w:r>
        <w:t xml:space="preserve">, 13(4):600–612, 2004.</w:t>
      </w:r>
    </w:p>
    <w:p>
      <w:pPr>
        <w:pStyle w:val="referenceitem"/>
      </w:pPr>
      <w:r>
        <w:t xml:space="preserve">Z. Liu et al. Deep Learning Face Attributes in the Wild. </w:t>
      </w:r>
      <w:r>
        <w:rPr>
          <w:i/>
        </w:rPr>
        <w:t xml:space="preserve">ICCV</w:t>
      </w:r>
      <w:r>
        <w:t xml:space="preserve">, 2015.</w:t>
      </w:r>
    </w:p>
    <w:p>
      <w:pPr>
        <w:pStyle w:val="referenceitem"/>
      </w:pPr>
      <w:r>
        <w:t xml:space="preserve">E. Agustsson and R. Timofte. NTIRE 2017 Challenge on Single Image Super-Resolution: Dataset and Study. </w:t>
      </w:r>
      <w:r>
        <w:rPr>
          <w:i/>
        </w:rPr>
        <w:t xml:space="preserve">CVPR Workshops</w:t>
      </w:r>
      <w:r>
        <w:t xml:space="preserve">, 2017.</w:t>
      </w:r>
    </w:p>
    <w:sectPr w:rsidR="00F5783C" w:rsidRPr="00606587"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
  <Relationship Id="rId8" Type="http://schemas.openxmlformats.org/officeDocument/2006/relationships/endnotes" Target="endnotes.xm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otnotes" Target="footnote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numbering" Target="numbering.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0" Type="http://schemas.openxmlformats.org/officeDocument/2006/relationships/hyperlink" Target="http://www.springer.com/lncs" TargetMode="External"/>
  
<Relationship Id="rId900" Type="http://schemas.openxmlformats.org/officeDocument/2006/relationships/image" Target="media/qualitative.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Markus Richter</cp:lastModifiedBy>
  <cp:revision>3</cp:revision>
  <dcterms:created xsi:type="dcterms:W3CDTF">2017-02-26T12:30:00Z</dcterms:created>
  <dcterms:modified xsi:type="dcterms:W3CDTF">2017-02-26T12:30:00Z</dcterms:modified>
</cp:coreProperties>
</file>