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COVID – 19</w:t>
      </w:r>
    </w:p>
    <w:p w14:paraId="6A9E77F0" w14:textId="5912C46E"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VACCINE </w:t>
      </w:r>
    </w:p>
    <w:p w14:paraId="57EF577A" w14:textId="518767E7"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 ANALYSIS</w:t>
      </w:r>
    </w:p>
    <w:p w14:paraId="5ADD191A" w14:textId="526FE9EA" w:rsidR="00317646" w:rsidRPr="00F777A2"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777A2">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PROJECT</w:t>
      </w:r>
    </w:p>
    <w:p w14:paraId="331F6407" w14:textId="77777777" w:rsidR="00F84B05" w:rsidRPr="00F777A2" w:rsidRDefault="00F84B05" w:rsidP="00F84B05">
      <w:pPr>
        <w:ind w:left="0"/>
        <w:rPr>
          <w:color w:val="00B050"/>
        </w:rPr>
      </w:pPr>
    </w:p>
    <w:p w14:paraId="67D4A0AA" w14:textId="77777777" w:rsidR="00F84B05" w:rsidRPr="00F777A2" w:rsidRDefault="00F84B05" w:rsidP="00F84B05">
      <w:pPr>
        <w:ind w:left="0"/>
        <w:rPr>
          <w:color w:val="00B050"/>
        </w:rPr>
      </w:pPr>
    </w:p>
    <w:p w14:paraId="0C6FF859" w14:textId="77777777" w:rsidR="00F84B05" w:rsidRPr="00F777A2" w:rsidRDefault="00F84B05" w:rsidP="00F84B05">
      <w:pPr>
        <w:ind w:left="0"/>
        <w:rPr>
          <w:color w:val="00B050"/>
        </w:rPr>
      </w:pPr>
    </w:p>
    <w:p w14:paraId="46213D92" w14:textId="77777777" w:rsidR="00F84B05" w:rsidRPr="00F777A2" w:rsidRDefault="00F84B05" w:rsidP="00F84B05">
      <w:pPr>
        <w:ind w:left="0"/>
        <w:rPr>
          <w:color w:val="00B050"/>
        </w:rPr>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2D736C" w:rsidRDefault="0040198D" w:rsidP="00CA1849">
      <w:pPr>
        <w:ind w:left="0"/>
        <w:jc w:val="both"/>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6C">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1569D415" w14:textId="77777777" w:rsidR="0040198D" w:rsidRDefault="0040198D" w:rsidP="00F84B05">
      <w:pPr>
        <w:ind w:left="0"/>
      </w:pP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2D736C" w:rsidRDefault="0040198D" w:rsidP="0040198D">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6C">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 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CA02A3C"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Bookman Old Style" w:eastAsia="Bookman Old Style" w:hAnsi="Bookman Old Style" w:cs="Bookman Old Style"/>
          <w:sz w:val="56"/>
          <w:szCs w:val="56"/>
        </w:rPr>
        <w:t xml:space="preserve"> </w:t>
      </w:r>
      <w:r w:rsidRPr="006B13BF">
        <w:rPr>
          <w:rFonts w:ascii="Courier New" w:eastAsia="Bookman Old Style" w:hAnsi="Courier New" w:cs="Courier New"/>
          <w:sz w:val="56"/>
          <w:szCs w:val="56"/>
        </w:rPr>
        <w:t>Data  Collection</w:t>
      </w:r>
      <w:r w:rsidR="00554412">
        <w:rPr>
          <w:rFonts w:ascii="Courier New" w:eastAsia="Bookman Old Style" w:hAnsi="Courier New" w:cs="Courier New"/>
          <w:sz w:val="56"/>
          <w:szCs w:val="56"/>
        </w:rPr>
        <w:t xml:space="preserve"> from </w:t>
      </w:r>
      <w:proofErr w:type="spellStart"/>
      <w:r w:rsidR="00554412">
        <w:rPr>
          <w:rFonts w:ascii="Courier New" w:eastAsia="Bookman Old Style" w:hAnsi="Courier New" w:cs="Courier New"/>
          <w:sz w:val="56"/>
          <w:szCs w:val="56"/>
        </w:rPr>
        <w:t>kagle</w:t>
      </w:r>
      <w:proofErr w:type="spellEnd"/>
      <w:r w:rsidRPr="006B13BF">
        <w:rPr>
          <w:rFonts w:ascii="Courier New" w:eastAsia="Bookman Old Style" w:hAnsi="Courier New" w:cs="Courier New"/>
          <w:sz w:val="56"/>
          <w:szCs w:val="56"/>
        </w:rPr>
        <w:t xml:space="preserve">                        </w:t>
      </w:r>
    </w:p>
    <w:p w14:paraId="3AE9307F"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 xml:space="preserve">Data </w:t>
      </w:r>
      <w:proofErr w:type="spellStart"/>
      <w:r w:rsidRPr="006B13BF">
        <w:rPr>
          <w:rFonts w:ascii="Courier New" w:eastAsia="Bookman Old Style" w:hAnsi="Courier New" w:cs="Courier New"/>
          <w:sz w:val="56"/>
          <w:szCs w:val="56"/>
        </w:rPr>
        <w:t>Preprocesing</w:t>
      </w:r>
      <w:proofErr w:type="spellEnd"/>
    </w:p>
    <w:p w14:paraId="3B59C899"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Exploratory Data Analysis(EDA)</w:t>
      </w:r>
    </w:p>
    <w:p w14:paraId="7D54529D"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Statistical Analysis</w:t>
      </w:r>
    </w:p>
    <w:p w14:paraId="0F88223C"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sz w:val="56"/>
          <w:szCs w:val="56"/>
        </w:rPr>
      </w:pPr>
      <w:r w:rsidRPr="006B13BF">
        <w:rPr>
          <w:rFonts w:ascii="Courier New" w:eastAsia="Bookman Old Style" w:hAnsi="Courier New" w:cs="Courier New"/>
          <w:sz w:val="56"/>
          <w:szCs w:val="56"/>
        </w:rPr>
        <w:t>Virtualization</w:t>
      </w:r>
    </w:p>
    <w:p w14:paraId="019B5D97" w14:textId="77777777" w:rsidR="006B13BF" w:rsidRPr="006B13BF" w:rsidRDefault="006B13BF" w:rsidP="006B13BF">
      <w:pPr>
        <w:pStyle w:val="ListParagraph"/>
        <w:numPr>
          <w:ilvl w:val="0"/>
          <w:numId w:val="15"/>
        </w:numPr>
        <w:spacing w:after="522" w:line="259" w:lineRule="auto"/>
        <w:ind w:right="-6396"/>
        <w:rPr>
          <w:rFonts w:ascii="Courier New" w:hAnsi="Courier New" w:cs="Courier New"/>
        </w:rPr>
      </w:pPr>
      <w:r w:rsidRPr="006B13BF">
        <w:rPr>
          <w:rFonts w:ascii="Courier New" w:eastAsia="Bookman Old Style" w:hAnsi="Courier New" w:cs="Courier New"/>
          <w:sz w:val="56"/>
          <w:szCs w:val="56"/>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6B4928A0" w14:textId="0DAAAF4A" w:rsidR="006B13BF" w:rsidRPr="00F84B05" w:rsidRDefault="006B13BF" w:rsidP="006B13BF">
      <w:pPr>
        <w:spacing w:after="522" w:line="259" w:lineRule="auto"/>
        <w:ind w:left="0" w:right="-6396"/>
      </w:pPr>
    </w:p>
    <w:p w14:paraId="43660A91" w14:textId="77777777" w:rsidR="00F84B05" w:rsidRDefault="00F84B05" w:rsidP="00F84B05">
      <w:pPr>
        <w:ind w:left="0"/>
      </w:pPr>
    </w:p>
    <w:p w14:paraId="4BA9A1AC" w14:textId="77777777" w:rsidR="00317646" w:rsidRDefault="00317646" w:rsidP="006B13BF">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B3A06" w14:textId="2A6DA6ED"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11DA5E13"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The dataset used for the covid-19 vaccine analysis project is a csv file with 15 columns representing </w:t>
      </w:r>
      <w:proofErr w:type="spellStart"/>
      <w:r w:rsidRPr="00F84B05">
        <w:rPr>
          <w:rFonts w:ascii="Bookman Old Style" w:eastAsia="Bookman Old Style" w:hAnsi="Bookman Old Style" w:cs="Bookman Old Style"/>
          <w:sz w:val="28"/>
          <w:szCs w:val="28"/>
        </w:rPr>
        <w:t>country,ISO</w:t>
      </w:r>
      <w:proofErr w:type="spellEnd"/>
      <w:r w:rsidRPr="00F84B05">
        <w:rPr>
          <w:rFonts w:ascii="Bookman Old Style" w:eastAsia="Bookman Old Style" w:hAnsi="Bookman Old Style" w:cs="Bookman Old Style"/>
          <w:sz w:val="28"/>
          <w:szCs w:val="28"/>
        </w:rPr>
        <w:t xml:space="preserve"> </w:t>
      </w:r>
      <w:proofErr w:type="spellStart"/>
      <w:r w:rsidRPr="00F84B05">
        <w:rPr>
          <w:rFonts w:ascii="Bookman Old Style" w:eastAsia="Bookman Old Style" w:hAnsi="Bookman Old Style" w:cs="Bookman Old Style"/>
          <w:sz w:val="28"/>
          <w:szCs w:val="28"/>
        </w:rPr>
        <w:t>code,Date,total</w:t>
      </w:r>
      <w:proofErr w:type="spellEnd"/>
      <w:r w:rsidRPr="00F84B05">
        <w:rPr>
          <w:rFonts w:ascii="Bookman Old Style" w:eastAsia="Bookman Old Style" w:hAnsi="Bookman Old Style" w:cs="Bookman Old Style"/>
          <w:sz w:val="28"/>
          <w:szCs w:val="28"/>
        </w:rPr>
        <w:t xml:space="preserve"> vaccination , people vaccinated, people fully vaccinated, daily vaccinated raw, daily </w:t>
      </w:r>
      <w:proofErr w:type="spellStart"/>
      <w:r w:rsidRPr="00F84B05">
        <w:rPr>
          <w:rFonts w:ascii="Bookman Old Style" w:eastAsia="Bookman Old Style" w:hAnsi="Bookman Old Style" w:cs="Bookman Old Style"/>
          <w:sz w:val="28"/>
          <w:szCs w:val="28"/>
        </w:rPr>
        <w:t>vaccination,total</w:t>
      </w:r>
      <w:proofErr w:type="spellEnd"/>
      <w:r w:rsidRPr="00F84B05">
        <w:rPr>
          <w:rFonts w:ascii="Bookman Old Style" w:eastAsia="Bookman Old Style" w:hAnsi="Bookman Old Style" w:cs="Bookman Old Style"/>
          <w:sz w:val="28"/>
          <w:szCs w:val="28"/>
        </w:rPr>
        <w:t xml:space="preserve"> vaccinations per 100,people vaccinated per 100, people fully vaccinated per 100, daily vaccinations per million, vaccines, source </w:t>
      </w:r>
      <w:proofErr w:type="spellStart"/>
      <w:r w:rsidRPr="00F84B05">
        <w:rPr>
          <w:rFonts w:ascii="Bookman Old Style" w:eastAsia="Bookman Old Style" w:hAnsi="Bookman Old Style" w:cs="Bookman Old Style"/>
          <w:sz w:val="28"/>
          <w:szCs w:val="28"/>
        </w:rPr>
        <w:t>name,source</w:t>
      </w:r>
      <w:proofErr w:type="spellEnd"/>
      <w:r w:rsidRPr="00F84B05">
        <w:rPr>
          <w:rFonts w:ascii="Bookman Old Style" w:eastAsia="Bookman Old Style" w:hAnsi="Bookman Old Style" w:cs="Bookman Old Style"/>
          <w:sz w:val="28"/>
          <w:szCs w:val="28"/>
        </w:rPr>
        <w:t xml:space="preserve"> website</w:t>
      </w:r>
      <w:r w:rsidR="00554412">
        <w:rPr>
          <w:rFonts w:ascii="Bookman Old Style" w:eastAsia="Bookman Old Style" w:hAnsi="Bookman Old Style" w:cs="Bookman Old Style"/>
          <w:sz w:val="28"/>
          <w:szCs w:val="28"/>
        </w:rPr>
        <w:t xml:space="preserve"> on </w:t>
      </w:r>
      <w:hyperlink r:id="rId11" w:history="1">
        <w:r w:rsidR="00E7242B" w:rsidRPr="00E7242B">
          <w:rPr>
            <w:rStyle w:val="Hyperlink"/>
            <w:rFonts w:ascii="Bookman Old Style" w:eastAsia="Bookman Old Style" w:hAnsi="Bookman Old Style" w:cs="Bookman Old Style"/>
            <w:sz w:val="28"/>
            <w:szCs w:val="28"/>
          </w:rPr>
          <w:t>https://www.kaggle.com/datasets/gpreda/covid-world-vaccination-progress</w:t>
        </w:r>
      </w:hyperlink>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up-to-date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820579"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0579">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Develop procedures to identify and handle any duplicate entries in the dataset, ensuring that each data point is unique and contributes meaningfully  of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CD02B2" w:rsidRDefault="006B13BF"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37718129" w14:textId="77777777" w:rsidR="00F84B05" w:rsidRPr="00CD02B2" w:rsidRDefault="00F84B05" w:rsidP="00F84B05">
      <w:pPr>
        <w:ind w:left="0"/>
        <w:rPr>
          <w:color w:val="DD8047" w:themeColor="accent2"/>
        </w:rPr>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6E4932"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lastRenderedPageBreak/>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65D361CC" w14:textId="6009C95F" w:rsidR="006E4932" w:rsidRPr="00F84B05" w:rsidRDefault="006E4932" w:rsidP="00F84B05">
      <w:pPr>
        <w:numPr>
          <w:ilvl w:val="0"/>
          <w:numId w:val="13"/>
        </w:numPr>
        <w:spacing w:after="495" w:line="265" w:lineRule="auto"/>
        <w:ind w:right="663" w:hanging="450"/>
        <w:rPr>
          <w:sz w:val="32"/>
          <w:szCs w:val="32"/>
        </w:rPr>
      </w:pPr>
      <w:r>
        <w:rPr>
          <w:noProof/>
        </w:rPr>
        <w:drawing>
          <wp:inline distT="0" distB="0" distL="0" distR="0" wp14:anchorId="7474DF7E" wp14:editId="70D464F6">
            <wp:extent cx="5908040" cy="3776980"/>
            <wp:effectExtent l="0" t="0" r="0" b="0"/>
            <wp:docPr id="349459726" name="Picture 2" descr="6 Key Benefits of IBM dashDB: Cloud Data Warehouse - Tri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Key Benefits of IBM dashDB: Cloud Data Warehouse - Trid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040" cy="3776980"/>
                    </a:xfrm>
                    <a:prstGeom prst="rect">
                      <a:avLst/>
                    </a:prstGeom>
                    <a:noFill/>
                    <a:ln>
                      <a:noFill/>
                    </a:ln>
                  </pic:spPr>
                </pic:pic>
              </a:graphicData>
            </a:graphic>
          </wp:inline>
        </w:drawing>
      </w:r>
    </w:p>
    <w:p w14:paraId="75B785D3" w14:textId="77777777" w:rsidR="00F84B05" w:rsidRDefault="00F84B05" w:rsidP="00F84B05">
      <w:pPr>
        <w:ind w:left="0"/>
      </w:pPr>
    </w:p>
    <w:p w14:paraId="1971BA55" w14:textId="1988B700" w:rsidR="00F84B05" w:rsidRPr="00CD02B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Use exploratory techniques to identify potential outliers or anomalies in the data. Employ box plots and scatter plots, particularly useful in detecting data points that deviate significantly from the norm</w:t>
      </w:r>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 xml:space="preserve">Formulate clear hypotheses related to vaccine efficacy, distribution, and adverse effects. Define null </w:t>
      </w:r>
      <w:r w:rsidRPr="00F84B05">
        <w:rPr>
          <w:rFonts w:ascii="Bookman Old Style" w:eastAsia="Bookman Old Style" w:hAnsi="Bookman Old Style" w:cs="Bookman Old Style"/>
          <w:sz w:val="30"/>
          <w:szCs w:val="30"/>
        </w:rPr>
        <w:lastRenderedPageBreak/>
        <w:t>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79161D"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623B0D74" w14:textId="77777777" w:rsidR="0079161D" w:rsidRDefault="0079161D" w:rsidP="0079161D">
      <w:pPr>
        <w:spacing w:after="456" w:line="294" w:lineRule="auto"/>
        <w:ind w:right="663"/>
        <w:rPr>
          <w:rFonts w:ascii="Bookman Old Style" w:eastAsia="Bookman Old Style" w:hAnsi="Bookman Old Style" w:cs="Bookman Old Style"/>
          <w:sz w:val="30"/>
          <w:szCs w:val="30"/>
        </w:rPr>
      </w:pPr>
    </w:p>
    <w:p w14:paraId="5F72C102" w14:textId="7FCE8268" w:rsidR="0079161D" w:rsidRDefault="0079161D" w:rsidP="0079161D">
      <w:pPr>
        <w:spacing w:after="456" w:line="294" w:lineRule="auto"/>
        <w:ind w:right="663"/>
        <w:rPr>
          <w:sz w:val="30"/>
          <w:szCs w:val="30"/>
        </w:rPr>
      </w:pPr>
      <w:r w:rsidRPr="0079161D">
        <w:rPr>
          <w:noProof/>
          <w:sz w:val="30"/>
          <w:szCs w:val="30"/>
        </w:rPr>
        <w:drawing>
          <wp:inline distT="0" distB="0" distL="0" distR="0" wp14:anchorId="306DD8D4" wp14:editId="079920A5">
            <wp:extent cx="5943600" cy="1862455"/>
            <wp:effectExtent l="0" t="0" r="0" b="4445"/>
            <wp:docPr id="8387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99467" name=""/>
                    <pic:cNvPicPr/>
                  </pic:nvPicPr>
                  <pic:blipFill>
                    <a:blip r:embed="rId13"/>
                    <a:stretch>
                      <a:fillRect/>
                    </a:stretch>
                  </pic:blipFill>
                  <pic:spPr>
                    <a:xfrm>
                      <a:off x="0" y="0"/>
                      <a:ext cx="5943600" cy="1862455"/>
                    </a:xfrm>
                    <a:prstGeom prst="rect">
                      <a:avLst/>
                    </a:prstGeom>
                  </pic:spPr>
                </pic:pic>
              </a:graphicData>
            </a:graphic>
          </wp:inline>
        </w:drawing>
      </w:r>
    </w:p>
    <w:p w14:paraId="69813642" w14:textId="48A7F437" w:rsidR="0079161D" w:rsidRPr="00F84B05" w:rsidRDefault="0079161D" w:rsidP="0079161D">
      <w:pPr>
        <w:spacing w:after="456" w:line="294" w:lineRule="auto"/>
        <w:ind w:right="663"/>
        <w:rPr>
          <w:sz w:val="30"/>
          <w:szCs w:val="30"/>
        </w:rPr>
      </w:pPr>
      <w:r w:rsidRPr="0079161D">
        <w:rPr>
          <w:noProof/>
          <w:sz w:val="30"/>
          <w:szCs w:val="30"/>
        </w:rPr>
        <w:lastRenderedPageBreak/>
        <w:drawing>
          <wp:inline distT="0" distB="0" distL="0" distR="0" wp14:anchorId="6E50C6D5" wp14:editId="7BB13846">
            <wp:extent cx="5943600" cy="1854835"/>
            <wp:effectExtent l="0" t="0" r="0" b="0"/>
            <wp:docPr id="17306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19405" name=""/>
                    <pic:cNvPicPr/>
                  </pic:nvPicPr>
                  <pic:blipFill>
                    <a:blip r:embed="rId14"/>
                    <a:stretch>
                      <a:fillRect/>
                    </a:stretch>
                  </pic:blipFill>
                  <pic:spPr>
                    <a:xfrm>
                      <a:off x="0" y="0"/>
                      <a:ext cx="5943600" cy="1854835"/>
                    </a:xfrm>
                    <a:prstGeom prst="rect">
                      <a:avLst/>
                    </a:prstGeom>
                  </pic:spPr>
                </pic:pic>
              </a:graphicData>
            </a:graphic>
          </wp:inline>
        </w:drawing>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29F52DFB" w14:textId="77777777" w:rsidR="0079161D" w:rsidRDefault="0079161D" w:rsidP="00F84B05">
      <w:pPr>
        <w:ind w:left="0"/>
      </w:pPr>
    </w:p>
    <w:p w14:paraId="7C459BB5" w14:textId="77777777" w:rsidR="0079161D" w:rsidRDefault="0079161D" w:rsidP="00F84B05">
      <w:pPr>
        <w:ind w:left="0"/>
      </w:pPr>
    </w:p>
    <w:p w14:paraId="08D35A69" w14:textId="77777777" w:rsidR="0079161D" w:rsidRDefault="0079161D" w:rsidP="00F84B05">
      <w:pPr>
        <w:ind w:left="0"/>
      </w:pPr>
    </w:p>
    <w:p w14:paraId="4CE32513" w14:textId="77777777" w:rsidR="0079161D" w:rsidRDefault="0079161D" w:rsidP="00F84B05">
      <w:pPr>
        <w:ind w:left="0"/>
      </w:pPr>
    </w:p>
    <w:p w14:paraId="736A39BB" w14:textId="77777777" w:rsidR="0079161D" w:rsidRDefault="0079161D" w:rsidP="00F84B05">
      <w:pPr>
        <w:ind w:left="0"/>
      </w:pPr>
    </w:p>
    <w:p w14:paraId="202B2D1E" w14:textId="77777777" w:rsidR="0079161D" w:rsidRDefault="0079161D" w:rsidP="00F84B05">
      <w:pPr>
        <w:ind w:left="0"/>
      </w:pPr>
    </w:p>
    <w:p w14:paraId="368629C7" w14:textId="77777777" w:rsidR="0079161D" w:rsidRDefault="0079161D" w:rsidP="00F84B05">
      <w:pPr>
        <w:ind w:left="0"/>
      </w:pPr>
    </w:p>
    <w:p w14:paraId="3DA225F8" w14:textId="77777777" w:rsidR="0079161D" w:rsidRDefault="0079161D" w:rsidP="00F84B05">
      <w:pPr>
        <w:ind w:left="0"/>
      </w:pPr>
    </w:p>
    <w:p w14:paraId="1D53E7AA" w14:textId="77777777" w:rsidR="0079161D" w:rsidRDefault="0079161D" w:rsidP="00F84B05">
      <w:pPr>
        <w:ind w:left="0"/>
      </w:pPr>
    </w:p>
    <w:p w14:paraId="7EB57E3D" w14:textId="77777777" w:rsidR="00F84B05" w:rsidRDefault="00F84B05" w:rsidP="00F84B05">
      <w:pPr>
        <w:ind w:left="0"/>
      </w:pPr>
    </w:p>
    <w:p w14:paraId="5A1DAC9D" w14:textId="3E667556" w:rsidR="00F84B05" w:rsidRPr="00CD02B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lastRenderedPageBreak/>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 xml:space="preserve">Bar charts, donut charts, </w:t>
      </w:r>
      <w:proofErr w:type="spellStart"/>
      <w:r w:rsidRPr="00F84B05">
        <w:rPr>
          <w:rFonts w:ascii="Bookman Old Style" w:eastAsia="Bookman Old Style" w:hAnsi="Bookman Old Style" w:cs="Bookman Old Style"/>
          <w:sz w:val="30"/>
          <w:szCs w:val="30"/>
        </w:rPr>
        <w:t>treemaps</w:t>
      </w:r>
      <w:proofErr w:type="spellEnd"/>
      <w:r w:rsidRPr="00F84B05">
        <w:rPr>
          <w:rFonts w:ascii="Bookman Old Style" w:eastAsia="Bookman Old Style" w:hAnsi="Bookman Old Style" w:cs="Bookman Old Style"/>
          <w:sz w:val="30"/>
          <w:szCs w:val="30"/>
        </w:rPr>
        <w:t xml:space="preserve">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CD02B2" w:rsidRDefault="00F84B05" w:rsidP="00F84B05">
      <w:pPr>
        <w:ind w:left="0"/>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B2">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lastRenderedPageBreak/>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Understand the implications of the identified patterns and trends. Evaluate how vaccine efficacy, distribution, and adverse effects impact overall public</w:t>
      </w:r>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F777A2" w:rsidRDefault="00F84B05" w:rsidP="00F84B05">
      <w:pPr>
        <w:pStyle w:val="Heading1"/>
        <w:jc w:val="center"/>
        <w:rPr>
          <w:color w:val="DD8047" w:themeColor="accent2"/>
          <w:sz w:val="124"/>
          <w:szCs w:val="124"/>
        </w:rPr>
      </w:pPr>
      <w:r w:rsidRPr="00F777A2">
        <w:rPr>
          <w:rFonts w:ascii="Algerian" w:hAnsi="Algerian"/>
          <w:caps w:val="0"/>
          <w:color w:val="DD8047" w:themeColor="accent2"/>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BD9925B" w14:textId="77777777" w:rsidR="00F84B05" w:rsidRDefault="00F84B05" w:rsidP="00F84B05">
      <w:pPr>
        <w:ind w:left="0"/>
      </w:pPr>
    </w:p>
    <w:p w14:paraId="3434D96E" w14:textId="77777777" w:rsidR="00F84B05" w:rsidRDefault="00F84B05" w:rsidP="00F84B05">
      <w:pPr>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 xml:space="preserve">In this dataset we came to know that the vaccination process in every country was going </w:t>
      </w:r>
      <w:r w:rsidRPr="00317646">
        <w:rPr>
          <w:rFonts w:ascii="Bookman Old Style" w:eastAsia="Bookman Old Style" w:hAnsi="Bookman Old Style" w:cs="Bookman Old Style"/>
          <w:sz w:val="36"/>
          <w:szCs w:val="36"/>
        </w:rPr>
        <w:lastRenderedPageBreak/>
        <w:t>in good pace that indicates we can have control of this disease very soon all over the world</w:t>
      </w:r>
    </w:p>
    <w:p w14:paraId="378C7300" w14:textId="77777777" w:rsidR="00F84B05" w:rsidRPr="00F84B05" w:rsidRDefault="00F84B05" w:rsidP="00F84B05">
      <w:pPr>
        <w:ind w:left="0"/>
      </w:pPr>
    </w:p>
    <w:sectPr w:rsidR="00F84B05" w:rsidRPr="00F84B05">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A51A8" w14:textId="77777777" w:rsidR="00001ACA" w:rsidRDefault="00001ACA">
      <w:r>
        <w:separator/>
      </w:r>
    </w:p>
    <w:p w14:paraId="659B8673" w14:textId="77777777" w:rsidR="00001ACA" w:rsidRDefault="00001ACA"/>
  </w:endnote>
  <w:endnote w:type="continuationSeparator" w:id="0">
    <w:p w14:paraId="04089EB9" w14:textId="77777777" w:rsidR="00001ACA" w:rsidRDefault="00001ACA">
      <w:r>
        <w:continuationSeparator/>
      </w:r>
    </w:p>
    <w:p w14:paraId="59BDD322" w14:textId="77777777" w:rsidR="00001ACA" w:rsidRDefault="00001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1F7A4FE9" w:rsidR="00CA1849" w:rsidRDefault="00CA1849" w:rsidP="00CA1849">
          <w:pPr>
            <w:pStyle w:val="Footer"/>
          </w:pPr>
          <w:r>
            <w:t>Date:</w:t>
          </w:r>
          <w:r w:rsidR="0070487F">
            <w:t>30</w:t>
          </w:r>
          <w:r>
            <w:t>.0</w:t>
          </w:r>
          <w:r w:rsidR="0070487F">
            <w:t>9</w:t>
          </w:r>
          <w:r>
            <w:t>.2023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EF9D" w14:textId="77777777" w:rsidR="00001ACA" w:rsidRDefault="00001ACA">
      <w:r>
        <w:separator/>
      </w:r>
    </w:p>
    <w:p w14:paraId="64CB51C5" w14:textId="77777777" w:rsidR="00001ACA" w:rsidRDefault="00001ACA"/>
  </w:footnote>
  <w:footnote w:type="continuationSeparator" w:id="0">
    <w:p w14:paraId="729171DD" w14:textId="77777777" w:rsidR="00001ACA" w:rsidRDefault="00001ACA">
      <w:r>
        <w:continuationSeparator/>
      </w:r>
    </w:p>
    <w:p w14:paraId="50CA13A9" w14:textId="77777777" w:rsidR="00001ACA" w:rsidRDefault="00001A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01ACA"/>
    <w:rsid w:val="00036AE1"/>
    <w:rsid w:val="00067E02"/>
    <w:rsid w:val="000913F3"/>
    <w:rsid w:val="0009536F"/>
    <w:rsid w:val="00107CB6"/>
    <w:rsid w:val="0013333F"/>
    <w:rsid w:val="00193898"/>
    <w:rsid w:val="002B21AE"/>
    <w:rsid w:val="002D736C"/>
    <w:rsid w:val="00312DD5"/>
    <w:rsid w:val="00317646"/>
    <w:rsid w:val="0033593E"/>
    <w:rsid w:val="0033759D"/>
    <w:rsid w:val="0040198D"/>
    <w:rsid w:val="004534A5"/>
    <w:rsid w:val="004566FA"/>
    <w:rsid w:val="00495232"/>
    <w:rsid w:val="004A4EC4"/>
    <w:rsid w:val="005331CA"/>
    <w:rsid w:val="005504AE"/>
    <w:rsid w:val="00554412"/>
    <w:rsid w:val="005912E4"/>
    <w:rsid w:val="005B5DD2"/>
    <w:rsid w:val="00660B21"/>
    <w:rsid w:val="006B13BF"/>
    <w:rsid w:val="006C13D0"/>
    <w:rsid w:val="006E4932"/>
    <w:rsid w:val="0070487F"/>
    <w:rsid w:val="00714CE5"/>
    <w:rsid w:val="00736E05"/>
    <w:rsid w:val="007378C8"/>
    <w:rsid w:val="0079161D"/>
    <w:rsid w:val="00797F7C"/>
    <w:rsid w:val="00820579"/>
    <w:rsid w:val="00822A8D"/>
    <w:rsid w:val="00831731"/>
    <w:rsid w:val="00852FE0"/>
    <w:rsid w:val="00874542"/>
    <w:rsid w:val="008A06AE"/>
    <w:rsid w:val="00907CBB"/>
    <w:rsid w:val="00913AE4"/>
    <w:rsid w:val="00955C6D"/>
    <w:rsid w:val="00976A9B"/>
    <w:rsid w:val="0099384F"/>
    <w:rsid w:val="009A32A1"/>
    <w:rsid w:val="009E439F"/>
    <w:rsid w:val="00A72CC5"/>
    <w:rsid w:val="00B55F12"/>
    <w:rsid w:val="00B87079"/>
    <w:rsid w:val="00B90C9D"/>
    <w:rsid w:val="00C41938"/>
    <w:rsid w:val="00C64B77"/>
    <w:rsid w:val="00CA1849"/>
    <w:rsid w:val="00CB5473"/>
    <w:rsid w:val="00CD02B2"/>
    <w:rsid w:val="00D2059A"/>
    <w:rsid w:val="00D34946"/>
    <w:rsid w:val="00D87485"/>
    <w:rsid w:val="00DA0B66"/>
    <w:rsid w:val="00E279B8"/>
    <w:rsid w:val="00E6205D"/>
    <w:rsid w:val="00E7242B"/>
    <w:rsid w:val="00E756E6"/>
    <w:rsid w:val="00EA05B8"/>
    <w:rsid w:val="00EB203B"/>
    <w:rsid w:val="00F777A2"/>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gpreda/covid-world-vaccination-progres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2742F-4184-42F2-957B-70ECDC092F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4.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2023-09-29T13:56:00Z</dcterms:created>
  <dcterms:modified xsi:type="dcterms:W3CDTF">2023-09-30T13:48:00Z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