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bCs w:val="1"/>
          <w:color w:val="auto"/>
          <w:sz w:val="32"/>
          <w:szCs w:val="32"/>
        </w:rPr>
        <w:t xml:space="preserve">Exploratory Data Analysis (EDA) Summary </w:t>
      </w:r>
      <w:r>
        <w:rPr>
          <w:b/>
          <w:sz w:val="32"/>
        </w:rPr>
        <w:br/>
      </w:r>
      <w:r w:rsidRPr="3378EA2B" w:rsidR="3378EA2B">
        <w:rPr>
          <w:rFonts w:ascii="Arial" w:hAnsi="Arial" w:eastAsia="Arial" w:cs="Arial"/>
          <w:b/>
          <w:bCs w:val="1"/>
          <w:color w:val="auto"/>
          <w:sz w:val="32"/>
          <w:szCs w:val="32"/>
        </w:rPr>
        <w:t>Report Template</w:t>
      </w:r>
    </w:p>
    <w:p xmlns:wp14="http://schemas.microsoft.com/office/word/2010/wordml" w:rsidP="3378EA2B" w14:paraId="672A6659" wp14:textId="77777777" wp14:noSpellErr="1">
      <w:pPr>
        <w:rPr>
          <w:rFonts w:ascii="Arial" w:hAnsi="Arial" w:eastAsia="Arial" w:cs="Arial"/>
          <w:color w:val="auto"/>
        </w:rPr>
      </w:pPr>
      <w:r>
        <w:rPr>
          <w:sz w:val="21"/>
        </w:rP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sz w:val="21"/>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rPr>
          <w:sz w:val="21"/>
        </w:rPr>
        <w:t>The purpose of this report is to summarize the exploratory data analysis of the delinquency prediction dataset. The analysis focuses on missing data, data quality issues, patterns, anomalies, and potential risk indicators that may affect delinquency prediction.</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sz w:val="21"/>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sz w:val="21"/>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sz w:val="21"/>
        </w:rPr>
        <w:t>Key dataset attributes:</w:t>
      </w:r>
    </w:p>
    <w:p xmlns:wp14="http://schemas.microsoft.com/office/word/2010/wordml" w:rsidP="3378EA2B" w14:paraId="42B2C3E9" wp14:textId="77777777" wp14:noSpellErr="1">
      <w:pPr>
        <w:rPr>
          <w:rFonts w:ascii="Arial" w:hAnsi="Arial" w:eastAsia="Arial" w:cs="Arial"/>
          <w:color w:val="auto"/>
        </w:rPr>
      </w:pPr>
      <w:r>
        <w:rPr>
          <w:sz w:val="21"/>
        </w:rPr>
        <w:t>- Number of records: 500</w:t>
      </w:r>
    </w:p>
    <w:p xmlns:wp14="http://schemas.microsoft.com/office/word/2010/wordml" w:rsidP="3378EA2B" w14:paraId="66D18F34" wp14:textId="77777777" wp14:noSpellErr="1">
      <w:pPr>
        <w:rPr>
          <w:rFonts w:ascii="Arial" w:hAnsi="Arial" w:eastAsia="Arial" w:cs="Arial"/>
          <w:color w:val="auto"/>
        </w:rPr>
      </w:pPr>
      <w:r>
        <w:rPr>
          <w:sz w:val="21"/>
        </w:rPr>
        <w:t>- Key variables: Income, Loan_Balance, Credit_Score, Credit_Utilization, Debt_to_Income_Ratio, Missed_Payments, Employment_Status, and Delinquent_Account.</w:t>
      </w:r>
    </w:p>
    <w:p xmlns:wp14="http://schemas.microsoft.com/office/word/2010/wordml" w:rsidP="3378EA2B" w14:paraId="1713A2A9" wp14:textId="77777777" wp14:noSpellErr="1">
      <w:pPr>
        <w:rPr>
          <w:rFonts w:ascii="Arial" w:hAnsi="Arial" w:eastAsia="Arial" w:cs="Arial"/>
          <w:color w:val="auto"/>
        </w:rPr>
      </w:pPr>
      <w:r>
        <w:rPr>
          <w:sz w:val="21"/>
        </w:rPr>
        <w:t>- Data types: Numerical variables include Income, Loan_Balance, Credit_Score, Credit_Utilization, Debt_to_Income_Ratio, and Missed_Payments; categorical variables include Employment_Status; Delinquent_Account is the binary target variable.</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sz w:val="21"/>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sz w:val="21"/>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sz w:val="21"/>
        </w:rPr>
        <w:t>Key missing data findings:</w:t>
      </w:r>
    </w:p>
    <w:p xmlns:wp14="http://schemas.microsoft.com/office/word/2010/wordml" w:rsidP="3378EA2B" w14:paraId="5ECE428D" wp14:textId="77777777" wp14:noSpellErr="1">
      <w:pPr>
        <w:rPr>
          <w:rFonts w:ascii="Arial" w:hAnsi="Arial" w:eastAsia="Arial" w:cs="Arial"/>
          <w:color w:val="auto"/>
        </w:rPr>
      </w:pPr>
      <w:r>
        <w:rPr>
          <w:sz w:val="21"/>
        </w:rPr>
        <w:t>- Variables with missing values: Income (39), Loan_Balance (29), and Credit_Score (2).</w:t>
      </w:r>
    </w:p>
    <w:p xmlns:wp14="http://schemas.microsoft.com/office/word/2010/wordml" w:rsidP="3378EA2B" w14:paraId="13777320" wp14:textId="77777777" wp14:noSpellErr="1">
      <w:pPr>
        <w:rPr>
          <w:rFonts w:ascii="Arial" w:hAnsi="Arial" w:eastAsia="Arial" w:cs="Arial"/>
          <w:color w:val="auto"/>
        </w:rPr>
      </w:pPr>
      <w:r>
        <w:rPr>
          <w:sz w:val="21"/>
        </w:rPr>
        <w:t>- Missing data treatment: Median imputation was selected for Income, Loan_Balance, and Credit_Score to retain customer records and provide robust replacement values.</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sz w:val="21"/>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sz w:val="21"/>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sz w:val="21"/>
        </w:rPr>
        <w:t>Key findings:</w:t>
      </w:r>
    </w:p>
    <w:p>
      <w:pPr/>
      <w:r>
        <w:rPr>
          <w:sz w:val="21"/>
        </w:rPr>
        <w:t>Missed_Payments: Higher numbers may indicate greater delinquency risk.</w:t>
      </w:r>
    </w:p>
    <w:p>
      <w:pPr/>
      <w:r>
        <w:rPr>
          <w:sz w:val="21"/>
        </w:rPr>
        <w:t>Credit_Score: Lower scores may indicate higher credit risk and potential repayment difficulties.</w:t>
      </w:r>
    </w:p>
    <w:p>
      <w:pPr/>
      <w:r>
        <w:rPr>
          <w:sz w:val="21"/>
        </w:rPr>
        <w:t>Credit_Utilization: High utilization may indicate financial stress and greater reliance on credit.</w:t>
      </w:r>
    </w:p>
    <w:p>
      <w:pPr/>
      <w:r>
        <w:rPr>
          <w:sz w:val="21"/>
        </w:rPr>
        <w:t>Debt_to_Income_Ratio: Higher ratios may indicate greater financial burden and potential difficulty making payments.</w:t>
      </w:r>
    </w:p>
    <w:p>
      <w:pPr/>
      <w:r>
        <w:rPr>
          <w:sz w:val="21"/>
        </w:rPr>
        <w:t>Loan_Balance: A higher outstanding balance may increase repayment obligations.</w:t>
      </w:r>
    </w:p>
    <w:p>
      <w:pPr/>
      <w:r>
        <w:rPr>
          <w:sz w:val="21"/>
        </w:rPr>
        <w:t>Employment_Status: Employment status may affect the ability to make regular payments.</w:t>
      </w:r>
    </w:p>
    <w:p xmlns:wp14="http://schemas.microsoft.com/office/word/2010/wordml" w:rsidP="3378EA2B" w14:paraId="0597957F" wp14:textId="77777777" wp14:noSpellErr="1">
      <w:pPr>
        <w:rPr>
          <w:rFonts w:ascii="Arial" w:hAnsi="Arial" w:eastAsia="Arial" w:cs="Arial"/>
          <w:color w:val="auto"/>
        </w:rPr>
      </w:pPr>
      <w:r>
        <w:rPr>
          <w:sz w:val="21"/>
        </w:rPr>
        <w:t>- Key risk indicators identified: Missed_Payments, Credit_Score, Credit_Utilization, Debt_to_Income_Ratio, Loan_Balance, and Employment_Status.</w:t>
      </w:r>
    </w:p>
    <w:p xmlns:wp14="http://schemas.microsoft.com/office/word/2010/wordml" w:rsidP="3378EA2B" w14:paraId="62F06E2A" wp14:textId="77777777" wp14:noSpellErr="1">
      <w:pPr>
        <w:rPr>
          <w:rFonts w:ascii="Arial" w:hAnsi="Arial" w:eastAsia="Arial" w:cs="Arial"/>
          <w:color w:val="auto"/>
        </w:rPr>
      </w:pPr>
      <w:r>
        <w:rPr>
          <w:sz w:val="21"/>
        </w:rPr>
        <w:t>- Patterns and anomalies: 80 of 500 customers are delinquent (16%). Credit_Utilization ranges from 0.05 to approximately 1.026, with some values above 100% that should be investigated. Employment_Status also contains inconsistent labels such as 'emp' and 'employed'.</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sz w:val="21"/>
        </w:rPr>
        <w:t>5. AI &amp; GenAI Usage</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sz w:val="21"/>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sz w:val="21"/>
        </w:rPr>
        <w:t>Example AI prompts used:</w:t>
      </w:r>
    </w:p>
    <w:p xmlns:wp14="http://schemas.microsoft.com/office/word/2010/wordml" w:rsidP="3378EA2B" w14:paraId="4AF77594" wp14:textId="77777777" wp14:noSpellErr="1">
      <w:pPr>
        <w:rPr>
          <w:rFonts w:ascii="Arial" w:hAnsi="Arial" w:eastAsia="Arial" w:cs="Arial"/>
          <w:color w:val="auto"/>
        </w:rPr>
      </w:pPr>
      <w:r>
        <w:rPr>
          <w:sz w:val="21"/>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Pr>
          <w:sz w:val="21"/>
        </w:rPr>
        <w:t>- 'Suggest an imputation strategy for missing income values based on industry best practices.'</w:t>
      </w:r>
    </w:p>
    <w:p xmlns:wp14="http://schemas.microsoft.com/office/word/2010/wordml" w:rsidP="3378EA2B" w14:paraId="1065B625" wp14:textId="77777777" wp14:noSpellErr="1">
      <w:pPr>
        <w:pStyle w:val="Heading1"/>
        <w:rPr>
          <w:rFonts w:ascii="Arial" w:hAnsi="Arial" w:eastAsia="Arial" w:cs="Arial"/>
          <w:color w:val="auto"/>
        </w:rPr>
      </w:pPr>
      <w:r>
        <w:rPr>
          <w:sz w:val="21"/>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Pr>
          <w:sz w:val="21"/>
        </w:rPr>
        <w:t>The EDA identified missing values in Income, Loan_Balance, and Credit_Score, along with inconsistent Employment_Status labels and Credit_Utilization values above 100%. Missed_Payments, Credit_Score, Credit_Utilization, Debt_to_Income_Ratio, Loan_Balance, and Employment_Status were identified as potential risk indicators. Next steps are to apply the selected missing-data treatment, standardize inconsistent labels, investigate unusual Credit_Utilization values, and evaluate these variables during delinquency prediction modeling.</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