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Predictive Insights &amp; Business Recommendation Report</w:t>
      </w:r>
    </w:p>
    <w:p>
      <w:pPr>
        <w:pStyle w:val="Heading1"/>
      </w:pPr>
      <w:r>
        <w:t>Step 1: Summary of Predictive Insights</w:t>
      </w:r>
    </w:p>
    <w:p>
      <w:pPr>
        <w:pStyle w:val="ListBullet"/>
      </w:pPr>
      <w:r>
        <w:rPr>
          <w:b/>
        </w:rPr>
        <w:t xml:space="preserve">Missed_Payments: </w:t>
      </w:r>
      <w:r>
        <w:t>Customers with more missed payments may have a higher risk of delinquency.</w:t>
      </w:r>
    </w:p>
    <w:p>
      <w:pPr>
        <w:pStyle w:val="ListBullet"/>
      </w:pPr>
      <w:r>
        <w:rPr>
          <w:b/>
        </w:rPr>
        <w:t xml:space="preserve">Credit_Utilization: </w:t>
      </w:r>
      <w:r>
        <w:t>High credit utilization may indicate financial stress and greater reliance on credit.</w:t>
      </w:r>
    </w:p>
    <w:p>
      <w:pPr>
        <w:pStyle w:val="ListBullet"/>
      </w:pPr>
      <w:r>
        <w:rPr>
          <w:b/>
        </w:rPr>
        <w:t xml:space="preserve">Credit_Score: </w:t>
      </w:r>
      <w:r>
        <w:t>Lower credit scores may indicate higher credit risk and potential repayment difficulties.</w:t>
      </w:r>
    </w:p>
    <w:p>
      <w:r>
        <w:t>These are potential risk indicators identified during EDA and are suitable inputs for the conceptual Logistic Regression framework. The EDA did not establish statistical causation or a measured ranking of these factors.</w:t>
      </w:r>
    </w:p>
    <w:p>
      <w:pPr>
        <w:pStyle w:val="Heading1"/>
      </w:pPr>
      <w:r>
        <w:t>Step 2: SMART Business Recommendation</w:t>
      </w:r>
    </w:p>
    <w:p>
      <w:r>
        <w:rPr>
          <w:b/>
        </w:rPr>
        <w:t xml:space="preserve">SMART Goal: </w:t>
      </w:r>
      <w:r>
        <w:t>Launch a 6-week SMS outreach pilot targeting customers with 2 or more missed payments, with the aim of reducing 30-day delinquency by 10% among the targeted group.</w:t>
      </w:r>
    </w:p>
    <w:p>
      <w:r>
        <w:rPr>
          <w:b/>
        </w:rPr>
        <w:t xml:space="preserve">Stakeholder rationale: </w:t>
      </w:r>
      <w:r>
        <w:t>Missed payments are a relevant risk indicator identified during the EDA. A limited pilot allows Geldium to test a targeted intervention, measure its results, and evaluate whether the approach should be expanded.</w:t>
      </w:r>
    </w:p>
    <w:p>
      <w:pPr>
        <w:pStyle w:val="Heading1"/>
      </w:pPr>
      <w:r>
        <w:t>Step 3: Ethical and Responsible AI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Fairness Risk</w:t>
            </w:r>
          </w:p>
        </w:tc>
        <w:tc>
          <w:tcPr>
            <w:tcW w:type="dxa" w:w="5020"/>
          </w:tcPr>
          <w:p>
            <w:r>
              <w:t>Mitigation</w:t>
            </w:r>
          </w:p>
        </w:tc>
      </w:tr>
      <w:tr>
        <w:tc>
          <w:tcPr>
            <w:tcW w:type="dxa" w:w="5020"/>
          </w:tcPr>
          <w:p>
            <w:r>
              <w:t>Different error rates across customer groups could result in some groups being incorrectly flagged as high-risk more often.</w:t>
            </w:r>
          </w:p>
        </w:tc>
        <w:tc>
          <w:tcPr>
            <w:tcW w:type="dxa" w:w="5020"/>
          </w:tcPr>
          <w:p>
            <w:r>
              <w:t>Compare model performance and false-positive/false-negative rates across relevant customer groups and investigate significant differences.</w:t>
            </w:r>
          </w:p>
        </w:tc>
      </w:tr>
      <w:tr>
        <w:tc>
          <w:tcPr>
            <w:tcW w:type="dxa" w:w="5020"/>
          </w:tcPr>
          <w:p>
            <w:r>
              <w:t>Historical data may contain existing biases that the model could learn and reproduce.</w:t>
            </w:r>
          </w:p>
        </w:tc>
        <w:tc>
          <w:tcPr>
            <w:tcW w:type="dxa" w:w="5020"/>
          </w:tcPr>
          <w:p>
            <w:r>
              <w:t>Review input features and historical patterns, conduct fairness checks, and monitor the model regularly after deployment.</w:t>
            </w:r>
          </w:p>
        </w:tc>
      </w:tr>
    </w:tbl>
    <w:p>
      <w:r>
        <w:rPr>
          <w:b/>
        </w:rPr>
        <w:t xml:space="preserve">Plain-language explanation: </w:t>
      </w:r>
      <w:r>
        <w:t>The model uses customer information such as missed payments, credit score, and credit utilization to estimate the likelihood of delinquency. The prediction is a risk estimate, not a statement that a customer will definitely become delinquent.</w:t>
      </w:r>
    </w:p>
    <w:p>
      <w:pPr>
        <w:pStyle w:val="Heading1"/>
      </w:pPr>
      <w:r>
        <w:t>Conclusion</w:t>
      </w:r>
    </w:p>
    <w:p>
      <w:r>
        <w:t>The proposed approach focuses on practical risk indicators from the EDA and uses a measurable pilot rather than immediately applying a broad intervention. Model performance and fairness should be monitored before wider deployment.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