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Times New Roman" w:hAnsi="Times New Roman"/>
          <w:b/>
          <w:sz w:val="32"/>
        </w:rPr>
        <w:t>Government Fund Allocation Tracking System Over Blockchain</w:t>
      </w:r>
    </w:p>
    <w:p>
      <w:pPr>
        <w:spacing w:before="20" w:after="20" w:line="264" w:lineRule="auto"/>
        <w:jc w:val="left"/>
      </w:pPr>
      <w:r>
        <w:rPr>
          <w:rFonts w:ascii="Times New Roman" w:hAnsi="Times New Roman"/>
          <w:b/>
          <w:i/>
          <w:sz w:val="20"/>
        </w:rPr>
        <w:t>Ritheesh K</w:t>
      </w:r>
      <w:r>
        <w:rPr>
          <w:rFonts w:ascii="Times New Roman" w:hAnsi="Times New Roman"/>
          <w:b/>
          <w:sz w:val="14"/>
          <w:vertAlign w:val="superscript"/>
        </w:rPr>
        <w:t>1</w:t>
      </w:r>
      <w:r>
        <w:t xml:space="preserve">, </w:t>
      </w:r>
      <w:r>
        <w:rPr>
          <w:rFonts w:ascii="Times New Roman" w:hAnsi="Times New Roman"/>
          <w:b/>
          <w:i/>
          <w:sz w:val="20"/>
        </w:rPr>
        <w:t>Shamith P N</w:t>
      </w:r>
      <w:r>
        <w:rPr>
          <w:rFonts w:ascii="Times New Roman" w:hAnsi="Times New Roman"/>
          <w:b/>
          <w:sz w:val="14"/>
          <w:vertAlign w:val="superscript"/>
        </w:rPr>
        <w:t>2</w:t>
      </w:r>
      <w:r>
        <w:t xml:space="preserve">, </w:t>
      </w:r>
      <w:r>
        <w:rPr>
          <w:rFonts w:ascii="Times New Roman" w:hAnsi="Times New Roman"/>
          <w:b/>
          <w:i/>
          <w:sz w:val="20"/>
        </w:rPr>
        <w:t>Shreyas P</w:t>
      </w:r>
      <w:r>
        <w:rPr>
          <w:rFonts w:ascii="Times New Roman" w:hAnsi="Times New Roman"/>
          <w:b/>
          <w:sz w:val="14"/>
          <w:vertAlign w:val="superscript"/>
        </w:rPr>
        <w:t>3</w:t>
      </w:r>
      <w:r>
        <w:t xml:space="preserve">, </w:t>
      </w:r>
      <w:r>
        <w:rPr>
          <w:rFonts w:ascii="Times New Roman" w:hAnsi="Times New Roman"/>
          <w:b/>
          <w:i/>
          <w:sz w:val="20"/>
        </w:rPr>
        <w:t>Suhas M</w:t>
      </w:r>
      <w:r>
        <w:rPr>
          <w:rFonts w:ascii="Times New Roman" w:hAnsi="Times New Roman"/>
          <w:b/>
          <w:sz w:val="14"/>
          <w:vertAlign w:val="superscript"/>
        </w:rPr>
        <w:t>4</w:t>
      </w:r>
      <w:r>
        <w:t xml:space="preserve"> and </w:t>
      </w:r>
      <w:r>
        <w:rPr>
          <w:rFonts w:ascii="Times New Roman" w:hAnsi="Times New Roman"/>
          <w:b/>
          <w:i/>
          <w:sz w:val="20"/>
        </w:rPr>
        <w:t>Mr. Pradeep Rao K B</w:t>
      </w:r>
      <w:r>
        <w:rPr>
          <w:rFonts w:ascii="Times New Roman" w:hAnsi="Times New Roman"/>
          <w:b/>
          <w:sz w:val="14"/>
          <w:vertAlign w:val="superscript"/>
        </w:rPr>
        <w:t>5</w:t>
      </w:r>
    </w:p>
    <w:p>
      <w:pPr>
        <w:spacing w:before="20" w:after="20" w:line="252" w:lineRule="auto"/>
        <w:jc w:val="left"/>
      </w:pPr>
      <w:r>
        <w:rPr>
          <w:rFonts w:ascii="Times New Roman" w:hAnsi="Times New Roman"/>
          <w:i/>
          <w:sz w:val="18"/>
        </w:rPr>
        <w:t>Student, Department of CSE</w:t>
      </w:r>
      <w:r>
        <w:rPr>
          <w:rFonts w:ascii="Times New Roman" w:hAnsi="Times New Roman"/>
          <w:sz w:val="14"/>
          <w:vertAlign w:val="superscript"/>
        </w:rPr>
        <w:t>1,2,3,4</w:t>
        <w:br/>
      </w:r>
      <w:r>
        <w:rPr>
          <w:rFonts w:ascii="Times New Roman" w:hAnsi="Times New Roman"/>
          <w:i/>
          <w:sz w:val="18"/>
        </w:rPr>
        <w:t>Assistant Professor, Department of CSE</w:t>
      </w:r>
      <w:r>
        <w:rPr>
          <w:rFonts w:ascii="Times New Roman" w:hAnsi="Times New Roman"/>
          <w:sz w:val="14"/>
          <w:vertAlign w:val="superscript"/>
        </w:rPr>
        <w:t>5</w:t>
        <w:br/>
      </w:r>
      <w:r>
        <w:rPr>
          <w:rFonts w:ascii="Times New Roman" w:hAnsi="Times New Roman"/>
          <w:i/>
          <w:sz w:val="18"/>
        </w:rPr>
        <w:t>Sri Dharmasthala Manjunatheshwara Institute of Technology (Affiliated to VTU Belagavi), Ujire - 574 240, Karnataka, India</w:t>
        <w:br/>
      </w:r>
      <w:r>
        <w:rPr>
          <w:rFonts w:ascii="Times New Roman" w:hAnsi="Times New Roman"/>
          <w:color w:val="003399"/>
          <w:sz w:val="17"/>
          <w:u w:val="single"/>
        </w:rPr>
        <w:t>Emails: {4su23cs077, 4su23cs090, 4su23cs095, 4su23cs103}@sdmit.in, pradeeprao@sdmit.in</w:t>
      </w:r>
    </w:p>
    <w:p>
      <w:pPr>
        <w:spacing w:before="40" w:after="60" w:line="20" w:lineRule="exact"/>
        <w:pBdr>
          <w:bottom w:val="single" w:sz="6" w:space="1" w:color="000000"/>
        </w:pBdr>
      </w:pPr>
    </w:p>
    <w:tbl>
      <w:tblPr>
        <w:tblW w:type="auto" w:w="0"/>
        <w:jc w:val="center"/>
        <w:tblLayout w:type="fixed"/>
        <w:tblLook w:firstColumn="1" w:firstRow="1" w:lastColumn="0" w:lastRow="0" w:noHBand="0" w:noVBand="1" w:val="04A0"/>
      </w:tblPr>
      <w:tblGrid>
        <w:gridCol w:w="5184"/>
        <w:gridCol w:w="5184"/>
      </w:tblGrid>
      <w:tr>
        <w:tc>
          <w:tcPr>
            <w:tcW w:type="dxa" w:w="3168"/>
            <w:tcBorders>
              <w:top w:val="none"/>
              <w:left w:val="none"/>
              <w:bottom w:val="none"/>
              <w:right w:val="none"/>
            </w:tcBorders>
            <w:vAlign w:val="top"/>
          </w:tcPr>
          <w:p>
            <w:pPr>
              <w:spacing w:before="0" w:after="40"/>
              <w:jc w:val="left"/>
            </w:pPr>
            <w:r>
              <w:rPr>
                <w:rFonts w:ascii="Times New Roman" w:hAnsi="Times New Roman"/>
                <w:b/>
                <w:sz w:val="18"/>
              </w:rPr>
              <w:t>K E Y W O R D S</w:t>
            </w:r>
          </w:p>
          <w:p>
            <w:pPr>
              <w:spacing w:before="0" w:after="0" w:line="259" w:lineRule="auto"/>
              <w:jc w:val="left"/>
            </w:pPr>
            <w:r>
              <w:rPr>
                <w:rFonts w:ascii="Times New Roman" w:hAnsi="Times New Roman"/>
                <w:i/>
                <w:sz w:val="16"/>
              </w:rPr>
              <w:t>Blockchain Governance,</w:t>
              <w:br/>
              <w:t>Public Financial Management Systems (PFMS),</w:t>
              <w:br/>
              <w:t>Smart Contracts,</w:t>
              <w:br/>
              <w:t>Ethereum Sepolia,</w:t>
              <w:br/>
              <w:t>Milestone Escrow,</w:t>
              <w:br/>
              <w:t>Cryptographic Auditability,</w:t>
              <w:br/>
              <w:t>QR Code Verification,</w:t>
              <w:br/>
              <w:t>Dual-Ledger Synchronization.</w:t>
            </w:r>
          </w:p>
        </w:tc>
        <w:tc>
          <w:tcPr>
            <w:tcW w:type="dxa" w:w="7200"/>
            <w:tcBorders>
              <w:top w:val="none"/>
              <w:left w:val="none"/>
              <w:bottom w:val="none"/>
              <w:right w:val="none"/>
            </w:tcBorders>
            <w:vAlign w:val="top"/>
          </w:tcPr>
          <w:p>
            <w:pPr>
              <w:spacing w:before="0" w:after="40"/>
              <w:jc w:val="center"/>
            </w:pPr>
            <w:r>
              <w:rPr>
                <w:rFonts w:ascii="Times New Roman" w:hAnsi="Times New Roman"/>
                <w:b/>
                <w:sz w:val="18"/>
              </w:rPr>
              <w:t>A B S T R A C T</w:t>
            </w:r>
          </w:p>
          <w:p>
            <w:pPr>
              <w:spacing w:before="20" w:after="0" w:line="242" w:lineRule="auto"/>
              <w:jc w:val="both"/>
            </w:pPr>
            <w:r>
              <w:rPr>
                <w:rFonts w:ascii="Times New Roman" w:hAnsi="Times New Roman"/>
                <w:sz w:val="17"/>
              </w:rPr>
              <w:t>Public financial management systems in developing economies predominantly rely on centralized relational databases that suffer from opaque fund flows, vulnerability to retroactive administrative alterations, paper-based milestone verification, and delayed auditing cycles that detect discrepancies only months after capital disbursal. While distributed ledgers offer tamper-evident auditability, fully on-chain architectures introduce prohibitive gas expenditure, transaction latency, and statutory privacy violations when handling granular civic records. To resolve this trilemma, this paper presents a hybrid, multi-tier public fund allocation and tracking architecture that programmatically bifurcates high-integrity financial devolution from off-chain operational data processing. A Solidity smart contract deployed on the Ethereum Sepolia testnet enforces mathematical budget ceiling invariants across four administrative tiers alongside an emergency freeze circuit breaker and SHA-256 evidence anchoring. Concurrently, an asynchronous Python FastAPI middleware and indexed MongoDB datastore orchestrate role-based access control, contractor KYC vetting, and milestone-based escrow payouts released in strict tranches (30%, 40%, 30%) following physical site inspections. To eliminate public opacity, each sanctioned project generates a unique cryptographic QR code linking physical signboards directly to an unauthenticated public ledger explorer. The system was validated against a 23-module automated test harness achieving 100% pass rates across 204 backend tests, 31 smart-contract unit tests, and a production Vite build of 1,705 modules. Dual-ledger reconciliation verified 100 trial allocations with 100% consistency in 4.12 s.</w:t>
            </w:r>
          </w:p>
        </w:tc>
      </w:tr>
    </w:tbl>
    <w:p>
      <w:pPr>
        <w:spacing w:before="40" w:after="20" w:line="20" w:lineRule="exact"/>
        <w:pBdr>
          <w:bottom w:val="single" w:sz="6" w:space="1" w:color="000000"/>
        </w:pBdr>
      </w:pPr>
    </w:p>
    <w:p>
      <w:pPr>
        <w:sectPr>
          <w:headerReference w:type="default" r:id="rId9"/>
          <w:footerReference w:type="default" r:id="rId10"/>
          <w:pgSz w:w="12240" w:h="15840"/>
          <w:pgMar w:top="936" w:right="936" w:bottom="936" w:left="936" w:header="504" w:footer="504" w:gutter="0"/>
          <w:cols w:space="720"/>
          <w:docGrid w:linePitch="360"/>
          <w:pgNumType w:start="1"/>
        </w:sectPr>
      </w:pPr>
    </w:p>
    <w:p>
      <w:pPr>
        <w:keepNext/>
        <w:spacing w:before="50" w:after="20"/>
        <w:jc w:val="left"/>
      </w:pPr>
      <w:r>
        <w:rPr>
          <w:rFonts w:ascii="Times New Roman" w:hAnsi="Times New Roman"/>
          <w:b/>
          <w:sz w:val="20"/>
        </w:rPr>
        <w:t>I. Introduction:</w:t>
      </w:r>
    </w:p>
    <w:p>
      <w:pPr>
        <w:spacing w:before="0" w:after="0" w:line="242" w:lineRule="auto"/>
        <w:ind w:firstLine="259"/>
        <w:jc w:val="both"/>
      </w:pPr>
      <w:r>
        <w:rPr>
          <w:rFonts w:ascii="Times New Roman" w:hAnsi="Times New Roman"/>
          <w:sz w:val="19"/>
        </w:rPr>
        <w:t>Public development expenditure on critical civic infrastructure—including highways, rural sanitation networks, potable water pipelines, and district health clinics—demands multi-tier administrative governance spanning federal, state, and regional jurisdictions. In developing economies, national treasuries allocate billions of dollars annually toward subsidized welfare and capital infrastructure schemes. However, conventional Public Financial Management Systems (PFMS) face severe systemic vulnerabilities rooted in centralized architecture. Because operational records reside in isolated relational database tables managed under single administrative domains, ledger entries remain vulnerable to post-facto alterations by privileged database administrators, milestone certifications rely on physical paper vouchers vulnerable to forgery, and ghost projects receive unauthorized disbursements.</w:t>
      </w:r>
    </w:p>
    <w:p>
      <w:pPr>
        <w:spacing w:before="0" w:after="0" w:line="242" w:lineRule="auto"/>
        <w:ind w:firstLine="259"/>
        <w:jc w:val="both"/>
      </w:pPr>
      <w:r>
        <w:rPr>
          <w:rFonts w:ascii="Times New Roman" w:hAnsi="Times New Roman"/>
          <w:sz w:val="19"/>
        </w:rPr>
        <w:t>Compounding these governance challenges is the profound temporal latency characterizing statutory fiscal audits. Oversight institutions, such as the Comptroller and Auditor General (CAG) and Central Vigilance Commissions, typically conduct reconciliation months or years after treasury disbursements occur. Consequently, when capital misappropriation, fiscal overdraws, or contractor abandonment transpire, public funds have already been liquidated, rendering forensic recovery nearly impossible.</w:t>
      </w:r>
    </w:p>
    <w:p>
      <w:pPr>
        <w:spacing w:before="0" w:after="0" w:line="242" w:lineRule="auto"/>
        <w:ind w:firstLine="259"/>
        <w:jc w:val="both"/>
      </w:pPr>
      <w:r>
        <w:rPr>
          <w:rFonts w:ascii="Times New Roman" w:hAnsi="Times New Roman"/>
          <w:sz w:val="19"/>
        </w:rPr>
        <w:t>Distributed ledger technologies offer compelling guarantees of cryptographic immutability and verifiable state transitions [1], [2]. By recording financial commitments on an append-only, consensus-driven state machine, programmatic rules can govern fund disbursement without reliance on subjective administrative discretion. Nevertheless, direct, naive application of blockchain technology to public administration introduces prohibitive operational barriers. Storing dense municipal engineering data—such as geotagged high-resolution inspection photographs, structural quality test certificates, detailed vendor bills of quantities, and contractor Know-Your-Customer (KYC) documentation—directly on the Ethereum blockchain incurs astronomical gas costs, introduces extreme transaction confirmation latency, and violates statutory privacy mandates that prohibit broadcasting citizen grievance identities, contractor banking credentials, and internal administrative identifiers onto a publicly readable ledger [4], [5].</w:t>
      </w:r>
    </w:p>
    <w:p>
      <w:pPr>
        <w:spacing w:before="0" w:after="0" w:line="242" w:lineRule="auto"/>
        <w:ind w:firstLine="259"/>
        <w:jc w:val="both"/>
      </w:pPr>
      <w:r>
        <w:rPr>
          <w:rFonts w:ascii="Times New Roman" w:hAnsi="Times New Roman"/>
          <w:sz w:val="19"/>
        </w:rPr>
        <w:t>To resolve this fundamental tension between cryptographic integrity and practical enterprise feasibility, this paper introduces a hybrid on-chain/off-chain public fund tracking and milestone governance platform. The proposed architecture restricts on-chain execution strictly to mathematical devolution invariants, milestone-based escrow locks, emergency circuit breakers, and SHA-256 evidence digests, while delegating high-volume operational metadata, media storage, and user authentication to an asynchronous off-chain tier. Specifically, this research makes the following core contributions:</w:t>
      </w:r>
    </w:p>
    <w:p>
      <w:pPr>
        <w:spacing w:before="0" w:after="0" w:line="242" w:lineRule="auto"/>
        <w:ind w:firstLine="259"/>
        <w:jc w:val="both"/>
      </w:pPr>
      <w:r>
        <w:rPr>
          <w:rFonts w:ascii="Times New Roman" w:hAnsi="Times New Roman"/>
          <w:sz w:val="19"/>
        </w:rPr>
        <w:t>1) Multi-Tier Devolution Smart Contract: A Solidity contract (GovernmentFundTracking.sol) deployed on Ethereum Sepolia that enforces mathematical budget ceiling invariants across four administrative tiers (Central Planning, Ministry of Finance, State Treasury, and District Agency) with EVM revert semantics.</w:t>
      </w:r>
    </w:p>
    <w:p>
      <w:pPr>
        <w:spacing w:before="0" w:after="0" w:line="242" w:lineRule="auto"/>
        <w:ind w:firstLine="259"/>
        <w:jc w:val="both"/>
      </w:pPr>
      <w:r>
        <w:rPr>
          <w:rFonts w:ascii="Times New Roman" w:hAnsi="Times New Roman"/>
          <w:sz w:val="19"/>
        </w:rPr>
        <w:t>2) Dual-Layer Reservation and Atomic Rollback Protocol: A synchronization mechanism that pairs atomic MongoDB document state locks with Web3.py blockchain transaction receipts, guaranteeing zero ledger drift upon transaction reverts.</w:t>
      </w:r>
    </w:p>
    <w:p>
      <w:pPr>
        <w:spacing w:before="0" w:after="0" w:line="242" w:lineRule="auto"/>
        <w:ind w:firstLine="259"/>
        <w:jc w:val="both"/>
      </w:pPr>
      <w:r>
        <w:rPr>
          <w:rFonts w:ascii="Times New Roman" w:hAnsi="Times New Roman"/>
          <w:sz w:val="19"/>
        </w:rPr>
        <w:t>3) Milestone-Gated Escrow Release Engine: A programmatic escrow protocol enforcing structured three-stage releases (30% mobilization, 40% intermediate structural execution, 30% completion) unlocked only upon district verification of SHA-256-digested photographic and invoice evidence.</w:t>
      </w:r>
    </w:p>
    <w:p>
      <w:pPr>
        <w:spacing w:before="0" w:after="0" w:line="242" w:lineRule="auto"/>
        <w:ind w:firstLine="259"/>
        <w:jc w:val="both"/>
      </w:pPr>
      <w:r>
        <w:rPr>
          <w:rFonts w:ascii="Times New Roman" w:hAnsi="Times New Roman"/>
          <w:sz w:val="19"/>
        </w:rPr>
        <w:t>4) Unauthenticated Universal QR Verification Gateway: An open cryptographic verification mechanism linking physical construction signboards directly to an unauthenticated public ledger explorer, enabling citizens to inspect real-time disbursements, progress proofs, and Etherscan transaction hashes without barriers.</w:t>
      </w:r>
    </w:p>
    <w:p>
      <w:pPr>
        <w:spacing w:before="0" w:after="0" w:line="242" w:lineRule="auto"/>
        <w:ind w:firstLine="259"/>
        <w:jc w:val="both"/>
      </w:pPr>
      <w:r>
        <w:rPr>
          <w:rFonts w:ascii="Times New Roman" w:hAnsi="Times New Roman"/>
          <w:sz w:val="19"/>
        </w:rPr>
        <w:t>5) Comprehensive Multi-Portal Implementation and Verification: A production-ready full-stack software implementation featuring five dedicated React 18 portals, FastAPI middleware with jurisdiction isolation, and validation against a 23-module automated test harness encompassing 204 backend tests and 31 smart-contract tests.</w:t>
      </w:r>
    </w:p>
    <w:p>
      <w:pPr>
        <w:spacing w:before="0" w:after="0" w:line="242" w:lineRule="auto"/>
        <w:ind w:firstLine="259"/>
        <w:jc w:val="both"/>
      </w:pPr>
      <w:r>
        <w:rPr>
          <w:rFonts w:ascii="Times New Roman" w:hAnsi="Times New Roman"/>
          <w:sz w:val="19"/>
        </w:rPr>
        <w:t>The remainder of this paper is organized as follows: Section II reviews related literature. Section III formalizes the problem model and mathematical invariants. Section IV details the proposed methodology. Section V presents the system architecture, operational workflow, and proposed block diagram (Fig 1). Section VI examines core implementation details and user interface portals (Figures 2–6). Section VII reports empirical evaluation results. Section VIII outlines limitations and future scope, and Section IX concludes the study.</w:t>
      </w:r>
    </w:p>
    <w:p>
      <w:pPr>
        <w:keepNext/>
        <w:spacing w:before="50" w:after="20"/>
        <w:jc w:val="left"/>
      </w:pPr>
      <w:r>
        <w:rPr>
          <w:rFonts w:ascii="Times New Roman" w:hAnsi="Times New Roman"/>
          <w:b/>
          <w:sz w:val="20"/>
        </w:rPr>
        <w:t>II. Related Work and Literature Review:</w:t>
      </w:r>
    </w:p>
    <w:p>
      <w:pPr>
        <w:spacing w:before="0" w:after="0" w:line="242" w:lineRule="auto"/>
        <w:ind w:firstLine="259"/>
        <w:jc w:val="both"/>
      </w:pPr>
      <w:r>
        <w:rPr>
          <w:rFonts w:ascii="Times New Roman" w:hAnsi="Times New Roman"/>
          <w:sz w:val="19"/>
        </w:rPr>
        <w:t>The conceptual foundation of decentralized consensus originated with Nakamoto [1], who demonstrated that proof-of-work consensus across distributed nodes could achieve fault-tolerant, double-spending-resistant ledger states without central clearinghouses. Ethereum subsequently generalized distributed ledgers by integrating a Turing-complete Ethereum Virtual Machine (EVM) [2], [3]. This enabled smart contracts—stateful, deterministic code executing directly within consensus blocks—to govern financial logic without intermediary human custodians.</w:t>
      </w:r>
    </w:p>
    <w:p>
      <w:pPr>
        <w:spacing w:before="0" w:after="0" w:line="242" w:lineRule="auto"/>
        <w:ind w:firstLine="259"/>
        <w:jc w:val="both"/>
      </w:pPr>
      <w:r>
        <w:rPr>
          <w:rFonts w:ascii="Times New Roman" w:hAnsi="Times New Roman"/>
          <w:sz w:val="19"/>
        </w:rPr>
        <w:t>In public administration, Ølnes et al. [4] investigated the governance implications of distributed ledger technologies for inter-agency information sharing. Their findings emphasized that while blockchains provide unmatched provenance and audit trails, their successful institutional adoption depends heavily on aligning technological capabilities with statutory administrative hierarchies, regulatory oversight, and organizational workflows. Wüst and Gervais [5] developed an authoritative architectural decision framework evaluating when a blockchain is technically justified. They established that distributed ledgers offer legitimate utility primarily when multiple mutually distrusting entities require shared write permissions to a common state without trusting a central authority. In national public finance, this condition holds true across federal ministries, state finance departments, district collectorates, and private contractors, where conflicting incentives motivate retroactive record modification.</w:t>
      </w:r>
    </w:p>
    <w:p>
      <w:pPr>
        <w:spacing w:before="0" w:after="0" w:line="242" w:lineRule="auto"/>
        <w:ind w:firstLine="259"/>
        <w:jc w:val="both"/>
      </w:pPr>
      <w:r>
        <w:rPr>
          <w:rFonts w:ascii="Times New Roman" w:hAnsi="Times New Roman"/>
          <w:sz w:val="19"/>
        </w:rPr>
        <w:t>However, smart contract execution introduces intrinsic security risks. Atzei et al. [6] established a comprehensive taxonomy of smart contract vulnerabilities, demonstrating that improper access control, reentrancy vulnerabilities, and integer overdraws frequently compromise EVM state integrity. These findings dictate that administrative contracts must enforce explicit function modifiers, strict role-based authorization, and invariant assertion checks before mutating state.</w:t>
      </w:r>
    </w:p>
    <w:p>
      <w:pPr>
        <w:spacing w:before="0" w:after="0" w:line="242" w:lineRule="auto"/>
        <w:ind w:firstLine="259"/>
        <w:jc w:val="both"/>
      </w:pPr>
      <w:r>
        <w:rPr>
          <w:rFonts w:ascii="Times New Roman" w:hAnsi="Times New Roman"/>
          <w:sz w:val="19"/>
        </w:rPr>
        <w:t>To ensure evidentiary integrity without congesting blockchain state, cryptographic digest standards established by NIST (FIPS PUB 180-4) [7] specify collision-resistant SHA-256 hashing. Anchoring 32-byte cryptographic hashes of bulky digital documents on-chain guarantees mathematical tamper detection while reducing storage overhead by orders of magnitude compared to on-chain file storage. For secure off-chain session management, Jones et al. (RFC 7519) [8] defined JSON Web Token (JWT) standards enabling stateless, cryptographically signed claims across decoupled API gateways. Secure credential storage necessitates salted, adaptive password hashing algorithms, such as bcrypt introduced by Provos and Mazières [9], to mitigate brute-force attacks on administrative credentials. Finally, Bernstein et al. [10] formalized concurrency control, two-phase state transitions, and recovery invariants in distributed database systems, providing the theoretical basis for atomic dual-ledger state synchronization.</w:t>
      </w:r>
    </w:p>
    <w:p>
      <w:pPr>
        <w:keepNext/>
        <w:spacing w:before="60" w:after="40"/>
        <w:jc w:val="center"/>
      </w:pPr>
      <w:r>
        <w:rPr>
          <w:rFonts w:ascii="Times New Roman" w:hAnsi="Times New Roman"/>
          <w:b/>
          <w:sz w:val="17"/>
        </w:rPr>
        <w:t>Table 1. Category-Level System Design Comparison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592"/>
        <w:gridCol w:w="2592"/>
        <w:gridCol w:w="2592"/>
        <w:gridCol w:w="2592"/>
      </w:tblGrid>
      <w:tr>
        <w:tc>
          <w:tcPr>
            <w:tcW w:type="dxa" w:w="1224"/>
            <w:shd w:fill="F1F5F9"/>
            <w:vAlign w:val="center"/>
          </w:tcPr>
          <w:p>
            <w:pPr>
              <w:spacing w:before="30" w:after="30"/>
              <w:jc w:val="center"/>
            </w:pPr>
            <w:r>
              <w:rPr>
                <w:rFonts w:ascii="Times New Roman" w:hAnsi="Times New Roman"/>
                <w:b/>
                <w:sz w:val="15"/>
              </w:rPr>
              <w:t>Architecture Dimension</w:t>
            </w:r>
          </w:p>
        </w:tc>
        <w:tc>
          <w:tcPr>
            <w:tcW w:type="dxa" w:w="1181"/>
            <w:shd w:fill="F1F5F9"/>
            <w:vAlign w:val="center"/>
          </w:tcPr>
          <w:p>
            <w:pPr>
              <w:spacing w:before="30" w:after="30"/>
              <w:jc w:val="center"/>
            </w:pPr>
            <w:r>
              <w:rPr>
                <w:rFonts w:ascii="Times New Roman" w:hAnsi="Times New Roman"/>
                <w:b/>
                <w:sz w:val="15"/>
              </w:rPr>
              <w:t>Traditional Centralized PFMS</w:t>
            </w:r>
          </w:p>
        </w:tc>
        <w:tc>
          <w:tcPr>
            <w:tcW w:type="dxa" w:w="1123"/>
            <w:shd w:fill="F1F5F9"/>
            <w:vAlign w:val="center"/>
          </w:tcPr>
          <w:p>
            <w:pPr>
              <w:spacing w:before="30" w:after="30"/>
              <w:jc w:val="center"/>
            </w:pPr>
            <w:r>
              <w:rPr>
                <w:rFonts w:ascii="Times New Roman" w:hAnsi="Times New Roman"/>
                <w:b/>
                <w:sz w:val="15"/>
              </w:rPr>
              <w:t>Fully On-Chain Ethereum</w:t>
            </w:r>
          </w:p>
        </w:tc>
        <w:tc>
          <w:tcPr>
            <w:tcW w:type="dxa" w:w="1368"/>
            <w:shd w:fill="F1F5F9"/>
            <w:vAlign w:val="center"/>
          </w:tcPr>
          <w:p>
            <w:pPr>
              <w:spacing w:before="30" w:after="30"/>
              <w:jc w:val="center"/>
            </w:pPr>
            <w:r>
              <w:rPr>
                <w:rFonts w:ascii="Times New Roman" w:hAnsi="Times New Roman"/>
                <w:b/>
                <w:sz w:val="15"/>
              </w:rPr>
              <w:t>Proposed Hybrid System</w:t>
            </w:r>
          </w:p>
        </w:tc>
      </w:tr>
      <w:tr>
        <w:tc>
          <w:tcPr>
            <w:tcW w:type="dxa" w:w="1224"/>
            <w:vAlign w:val="center"/>
          </w:tcPr>
          <w:p>
            <w:pPr>
              <w:spacing w:before="24" w:after="20"/>
              <w:jc w:val="left"/>
            </w:pPr>
            <w:r>
              <w:rPr>
                <w:rFonts w:ascii="Times New Roman" w:hAnsi="Times New Roman"/>
                <w:sz w:val="14"/>
              </w:rPr>
              <w:t>Persistence Engine</w:t>
            </w:r>
          </w:p>
        </w:tc>
        <w:tc>
          <w:tcPr>
            <w:tcW w:type="dxa" w:w="1181"/>
            <w:vAlign w:val="center"/>
          </w:tcPr>
          <w:p>
            <w:pPr>
              <w:spacing w:before="24" w:after="20"/>
              <w:jc w:val="center"/>
            </w:pPr>
            <w:r>
              <w:rPr>
                <w:rFonts w:ascii="Times New Roman" w:hAnsi="Times New Roman"/>
                <w:sz w:val="14"/>
              </w:rPr>
              <w:t>Relational RDBMS (MySQL / Oracle)</w:t>
            </w:r>
          </w:p>
        </w:tc>
        <w:tc>
          <w:tcPr>
            <w:tcW w:type="dxa" w:w="1123"/>
            <w:vAlign w:val="center"/>
          </w:tcPr>
          <w:p>
            <w:pPr>
              <w:spacing w:before="24" w:after="20"/>
              <w:jc w:val="center"/>
            </w:pPr>
            <w:r>
              <w:rPr>
                <w:rFonts w:ascii="Times New Roman" w:hAnsi="Times New Roman"/>
                <w:sz w:val="14"/>
              </w:rPr>
              <w:t>EVM Blockchain Storage Trie</w:t>
            </w:r>
          </w:p>
        </w:tc>
        <w:tc>
          <w:tcPr>
            <w:tcW w:type="dxa" w:w="1368"/>
            <w:vAlign w:val="center"/>
          </w:tcPr>
          <w:p>
            <w:pPr>
              <w:spacing w:before="24" w:after="20"/>
              <w:jc w:val="center"/>
            </w:pPr>
            <w:r>
              <w:rPr>
                <w:rFonts w:ascii="Times New Roman" w:hAnsi="Times New Roman"/>
                <w:sz w:val="14"/>
              </w:rPr>
              <w:t>Dual Ledger (MongoDB + Sepolia)</w:t>
            </w:r>
          </w:p>
        </w:tc>
      </w:tr>
      <w:tr>
        <w:tc>
          <w:tcPr>
            <w:tcW w:type="dxa" w:w="1224"/>
            <w:vAlign w:val="center"/>
          </w:tcPr>
          <w:p>
            <w:pPr>
              <w:spacing w:before="24" w:after="20"/>
              <w:jc w:val="left"/>
            </w:pPr>
            <w:r>
              <w:rPr>
                <w:rFonts w:ascii="Times New Roman" w:hAnsi="Times New Roman"/>
                <w:sz w:val="14"/>
              </w:rPr>
              <w:t>Tamper Resistance</w:t>
            </w:r>
          </w:p>
        </w:tc>
        <w:tc>
          <w:tcPr>
            <w:tcW w:type="dxa" w:w="1181"/>
            <w:vAlign w:val="center"/>
          </w:tcPr>
          <w:p>
            <w:pPr>
              <w:spacing w:before="24" w:after="20"/>
              <w:jc w:val="center"/>
            </w:pPr>
            <w:r>
              <w:rPr>
                <w:rFonts w:ascii="Times New Roman" w:hAnsi="Times New Roman"/>
                <w:sz w:val="14"/>
              </w:rPr>
              <w:t>Vulnerable to Admin SQL Overwrite</w:t>
            </w:r>
          </w:p>
        </w:tc>
        <w:tc>
          <w:tcPr>
            <w:tcW w:type="dxa" w:w="1123"/>
            <w:vAlign w:val="center"/>
          </w:tcPr>
          <w:p>
            <w:pPr>
              <w:spacing w:before="24" w:after="20"/>
              <w:jc w:val="center"/>
            </w:pPr>
            <w:r>
              <w:rPr>
                <w:rFonts w:ascii="Times New Roman" w:hAnsi="Times New Roman"/>
                <w:sz w:val="14"/>
              </w:rPr>
              <w:t>Immutable Cryptographic Consensus</w:t>
            </w:r>
          </w:p>
        </w:tc>
        <w:tc>
          <w:tcPr>
            <w:tcW w:type="dxa" w:w="1368"/>
            <w:vAlign w:val="center"/>
          </w:tcPr>
          <w:p>
            <w:pPr>
              <w:spacing w:before="24" w:after="20"/>
              <w:jc w:val="center"/>
            </w:pPr>
            <w:r>
              <w:rPr>
                <w:rFonts w:ascii="Times New Roman" w:hAnsi="Times New Roman"/>
                <w:sz w:val="14"/>
              </w:rPr>
              <w:t>Immutable Ceilings + Digest Mirror</w:t>
            </w:r>
          </w:p>
        </w:tc>
      </w:tr>
      <w:tr>
        <w:tc>
          <w:tcPr>
            <w:tcW w:type="dxa" w:w="1224"/>
            <w:vAlign w:val="center"/>
          </w:tcPr>
          <w:p>
            <w:pPr>
              <w:spacing w:before="24" w:after="20"/>
              <w:jc w:val="left"/>
            </w:pPr>
            <w:r>
              <w:rPr>
                <w:rFonts w:ascii="Times New Roman" w:hAnsi="Times New Roman"/>
                <w:sz w:val="14"/>
              </w:rPr>
              <w:t>Transaction Costs</w:t>
            </w:r>
          </w:p>
        </w:tc>
        <w:tc>
          <w:tcPr>
            <w:tcW w:type="dxa" w:w="1181"/>
            <w:vAlign w:val="center"/>
          </w:tcPr>
          <w:p>
            <w:pPr>
              <w:spacing w:before="24" w:after="20"/>
              <w:jc w:val="center"/>
            </w:pPr>
            <w:r>
              <w:rPr>
                <w:rFonts w:ascii="Times New Roman" w:hAnsi="Times New Roman"/>
                <w:sz w:val="14"/>
              </w:rPr>
              <w:t>Zero Blockchain Gas Fees</w:t>
            </w:r>
          </w:p>
        </w:tc>
        <w:tc>
          <w:tcPr>
            <w:tcW w:type="dxa" w:w="1123"/>
            <w:vAlign w:val="center"/>
          </w:tcPr>
          <w:p>
            <w:pPr>
              <w:spacing w:before="24" w:after="20"/>
              <w:jc w:val="center"/>
            </w:pPr>
            <w:r>
              <w:rPr>
                <w:rFonts w:ascii="Times New Roman" w:hAnsi="Times New Roman"/>
                <w:sz w:val="14"/>
              </w:rPr>
              <w:t>Prohibitive Mainnet Gas Costs</w:t>
            </w:r>
          </w:p>
        </w:tc>
        <w:tc>
          <w:tcPr>
            <w:tcW w:type="dxa" w:w="1368"/>
            <w:vAlign w:val="center"/>
          </w:tcPr>
          <w:p>
            <w:pPr>
              <w:spacing w:before="24" w:after="20"/>
              <w:jc w:val="center"/>
            </w:pPr>
            <w:r>
              <w:rPr>
                <w:rFonts w:ascii="Times New Roman" w:hAnsi="Times New Roman"/>
                <w:sz w:val="14"/>
              </w:rPr>
              <w:t>Minimal Sepolia / L2 Anchor Overhead</w:t>
            </w:r>
          </w:p>
        </w:tc>
      </w:tr>
      <w:tr>
        <w:tc>
          <w:tcPr>
            <w:tcW w:type="dxa" w:w="1224"/>
            <w:vAlign w:val="center"/>
          </w:tcPr>
          <w:p>
            <w:pPr>
              <w:spacing w:before="24" w:after="20"/>
              <w:jc w:val="left"/>
            </w:pPr>
            <w:r>
              <w:rPr>
                <w:rFonts w:ascii="Times New Roman" w:hAnsi="Times New Roman"/>
                <w:sz w:val="14"/>
              </w:rPr>
              <w:t>Evidence Storage</w:t>
            </w:r>
          </w:p>
        </w:tc>
        <w:tc>
          <w:tcPr>
            <w:tcW w:type="dxa" w:w="1181"/>
            <w:vAlign w:val="center"/>
          </w:tcPr>
          <w:p>
            <w:pPr>
              <w:spacing w:before="24" w:after="20"/>
              <w:jc w:val="center"/>
            </w:pPr>
            <w:r>
              <w:rPr>
                <w:rFonts w:ascii="Times New Roman" w:hAnsi="Times New Roman"/>
                <w:sz w:val="14"/>
              </w:rPr>
              <w:t>Local Server Filesystem</w:t>
            </w:r>
          </w:p>
        </w:tc>
        <w:tc>
          <w:tcPr>
            <w:tcW w:type="dxa" w:w="1123"/>
            <w:vAlign w:val="center"/>
          </w:tcPr>
          <w:p>
            <w:pPr>
              <w:spacing w:before="24" w:after="20"/>
              <w:jc w:val="center"/>
            </w:pPr>
            <w:r>
              <w:rPr>
                <w:rFonts w:ascii="Times New Roman" w:hAnsi="Times New Roman"/>
                <w:sz w:val="14"/>
              </w:rPr>
              <w:t>Cost-Prohibitive On-Chain Bytes</w:t>
            </w:r>
          </w:p>
        </w:tc>
        <w:tc>
          <w:tcPr>
            <w:tcW w:type="dxa" w:w="1368"/>
            <w:vAlign w:val="center"/>
          </w:tcPr>
          <w:p>
            <w:pPr>
              <w:spacing w:before="24" w:after="20"/>
              <w:jc w:val="center"/>
            </w:pPr>
            <w:r>
              <w:rPr>
                <w:rFonts w:ascii="Times New Roman" w:hAnsi="Times New Roman"/>
                <w:sz w:val="14"/>
              </w:rPr>
              <w:t>Off-Chain Vault + On-Chain SHA-256</w:t>
            </w:r>
          </w:p>
        </w:tc>
      </w:tr>
      <w:tr>
        <w:tc>
          <w:tcPr>
            <w:tcW w:type="dxa" w:w="1224"/>
            <w:vAlign w:val="center"/>
          </w:tcPr>
          <w:p>
            <w:pPr>
              <w:spacing w:before="24" w:after="20"/>
              <w:jc w:val="left"/>
            </w:pPr>
            <w:r>
              <w:rPr>
                <w:rFonts w:ascii="Times New Roman" w:hAnsi="Times New Roman"/>
                <w:sz w:val="14"/>
              </w:rPr>
              <w:t>Fund Release Control</w:t>
            </w:r>
          </w:p>
        </w:tc>
        <w:tc>
          <w:tcPr>
            <w:tcW w:type="dxa" w:w="1181"/>
            <w:vAlign w:val="center"/>
          </w:tcPr>
          <w:p>
            <w:pPr>
              <w:spacing w:before="24" w:after="20"/>
              <w:jc w:val="center"/>
            </w:pPr>
            <w:r>
              <w:rPr>
                <w:rFonts w:ascii="Times New Roman" w:hAnsi="Times New Roman"/>
                <w:sz w:val="14"/>
              </w:rPr>
              <w:t>Manual Administrative Discretion</w:t>
            </w:r>
          </w:p>
        </w:tc>
        <w:tc>
          <w:tcPr>
            <w:tcW w:type="dxa" w:w="1123"/>
            <w:vAlign w:val="center"/>
          </w:tcPr>
          <w:p>
            <w:pPr>
              <w:spacing w:before="24" w:after="20"/>
              <w:jc w:val="center"/>
            </w:pPr>
            <w:r>
              <w:rPr>
                <w:rFonts w:ascii="Times New Roman" w:hAnsi="Times New Roman"/>
                <w:sz w:val="14"/>
              </w:rPr>
              <w:t>Autonomous Contract Logic</w:t>
            </w:r>
          </w:p>
        </w:tc>
        <w:tc>
          <w:tcPr>
            <w:tcW w:type="dxa" w:w="1368"/>
            <w:vAlign w:val="center"/>
          </w:tcPr>
          <w:p>
            <w:pPr>
              <w:spacing w:before="24" w:after="20"/>
              <w:jc w:val="center"/>
            </w:pPr>
            <w:r>
              <w:rPr>
                <w:rFonts w:ascii="Times New Roman" w:hAnsi="Times New Roman"/>
                <w:sz w:val="14"/>
              </w:rPr>
              <w:t>Milestone Escrow + Field Verification</w:t>
            </w:r>
          </w:p>
        </w:tc>
      </w:tr>
      <w:tr>
        <w:tc>
          <w:tcPr>
            <w:tcW w:type="dxa" w:w="1224"/>
            <w:vAlign w:val="center"/>
          </w:tcPr>
          <w:p>
            <w:pPr>
              <w:spacing w:before="24" w:after="20"/>
              <w:jc w:val="left"/>
            </w:pPr>
            <w:r>
              <w:rPr>
                <w:rFonts w:ascii="Times New Roman" w:hAnsi="Times New Roman"/>
                <w:sz w:val="14"/>
              </w:rPr>
              <w:t>Public Transparency</w:t>
            </w:r>
          </w:p>
        </w:tc>
        <w:tc>
          <w:tcPr>
            <w:tcW w:type="dxa" w:w="1181"/>
            <w:vAlign w:val="center"/>
          </w:tcPr>
          <w:p>
            <w:pPr>
              <w:spacing w:before="24" w:after="20"/>
              <w:jc w:val="center"/>
            </w:pPr>
            <w:r>
              <w:rPr>
                <w:rFonts w:ascii="Times New Roman" w:hAnsi="Times New Roman"/>
                <w:sz w:val="14"/>
              </w:rPr>
              <w:t>Restricted / Delayed RTI Portals</w:t>
            </w:r>
          </w:p>
        </w:tc>
        <w:tc>
          <w:tcPr>
            <w:tcW w:type="dxa" w:w="1123"/>
            <w:vAlign w:val="center"/>
          </w:tcPr>
          <w:p>
            <w:pPr>
              <w:spacing w:before="24" w:after="20"/>
              <w:jc w:val="center"/>
            </w:pPr>
            <w:r>
              <w:rPr>
                <w:rFonts w:ascii="Times New Roman" w:hAnsi="Times New Roman"/>
                <w:sz w:val="14"/>
              </w:rPr>
              <w:t>Raw Hexadecimal Block Explorers</w:t>
            </w:r>
          </w:p>
        </w:tc>
        <w:tc>
          <w:tcPr>
            <w:tcW w:type="dxa" w:w="1368"/>
            <w:vAlign w:val="center"/>
          </w:tcPr>
          <w:p>
            <w:pPr>
              <w:spacing w:before="24" w:after="20"/>
              <w:jc w:val="center"/>
            </w:pPr>
            <w:r>
              <w:rPr>
                <w:rFonts w:ascii="Times New Roman" w:hAnsi="Times New Roman"/>
                <w:sz w:val="14"/>
              </w:rPr>
              <w:t>Universal Roadside QR Verification</w:t>
            </w:r>
          </w:p>
        </w:tc>
      </w:tr>
    </w:tbl>
    <w:p>
      <w:pPr>
        <w:spacing w:before="0" w:after="0" w:line="242" w:lineRule="auto"/>
        <w:ind w:firstLine="259"/>
        <w:jc w:val="both"/>
      </w:pPr>
      <w:r>
        <w:rPr>
          <w:rFonts w:ascii="Times New Roman" w:hAnsi="Times New Roman"/>
          <w:sz w:val="19"/>
        </w:rPr>
        <w:t>As summarized in Table 1, existing solutions present severe operational trade-offs. Centralized systems support bulk media and high throughput but completely lack tamper resistance and public trust. Fully on-chain solutions achieve trustless execution but are economically unviable and privacy-violating for government administration. The proposed hybrid framework addresses this specific research gap by isolating balance devolution ceilings and cryptographic evidence digests on Ethereum, while managing operational workflows, contractor KYC, and high-resolution inspection media within an enterprise-grade off-chain infrastructure.</w:t>
      </w:r>
    </w:p>
    <w:p>
      <w:pPr>
        <w:keepNext/>
        <w:spacing w:before="50" w:after="20"/>
        <w:jc w:val="left"/>
      </w:pPr>
      <w:r>
        <w:rPr>
          <w:rFonts w:ascii="Times New Roman" w:hAnsi="Times New Roman"/>
          <w:b/>
          <w:sz w:val="20"/>
        </w:rPr>
        <w:t>III. Problem Formulation and Objectives:</w:t>
      </w:r>
    </w:p>
    <w:p>
      <w:pPr>
        <w:spacing w:before="0" w:after="0" w:line="242" w:lineRule="auto"/>
        <w:ind w:firstLine="259"/>
        <w:jc w:val="both"/>
      </w:pPr>
      <w:r>
        <w:rPr>
          <w:rFonts w:ascii="Times New Roman" w:hAnsi="Times New Roman"/>
          <w:sz w:val="19"/>
        </w:rPr>
        <w:t>Let the sovereign public financial governance ecosystem be modeled as a directed hierarchical acyclic graph G = (V, E), where vertices V represent authoritative entities and directed edges E represent legitimate devolution of financial capital. The entity set V is partitioned into six distinct non-overlapping administrative classes:</w:t>
      </w:r>
    </w:p>
    <w:p>
      <w:pPr>
        <w:spacing w:before="0" w:after="0" w:line="242" w:lineRule="auto"/>
        <w:ind w:firstLine="360"/>
        <w:jc w:val="both"/>
      </w:pPr>
      <w:r>
        <w:rPr>
          <w:rFonts w:ascii="Times New Roman" w:hAnsi="Times New Roman"/>
          <w:sz w:val="19"/>
        </w:rPr>
        <w:t>V = { U_admin, U_fin, U_state, U_dist, U_cont, U_aud, U_cit }</w:t>
      </w:r>
    </w:p>
    <w:p>
      <w:pPr>
        <w:spacing w:before="0" w:after="0" w:line="242" w:lineRule="auto"/>
        <w:ind w:firstLine="259"/>
        <w:jc w:val="both"/>
      </w:pPr>
      <w:r>
        <w:rPr>
          <w:rFonts w:ascii="Times New Roman" w:hAnsi="Times New Roman"/>
          <w:sz w:val="19"/>
        </w:rPr>
        <w:t>where U_admin denotes the Cabinet Secretariat and Central Planning Authority; U_fin denotes the Ministry of Finance; U_state denotes State Treasury Departments; U_dist denotes District Rural Development Agencies (DRDA); U_cont denotes registered infrastructure contractors; U_aud denotes statutory audit authorities (CAG); and U_cit denotes citizen beneficiaries and civil society watchdogs.</w:t>
      </w:r>
    </w:p>
    <w:p>
      <w:pPr>
        <w:keepNext/>
        <w:spacing w:before="40" w:after="10"/>
        <w:jc w:val="left"/>
      </w:pPr>
      <w:r>
        <w:rPr>
          <w:rFonts w:ascii="Times New Roman" w:hAnsi="Times New Roman"/>
          <w:b/>
          <w:sz w:val="19"/>
        </w:rPr>
        <w:t>3.1 Mathematical Invariants and Devolution Ceilings</w:t>
      </w:r>
    </w:p>
    <w:p>
      <w:pPr>
        <w:spacing w:before="0" w:after="0" w:line="242" w:lineRule="auto"/>
        <w:ind w:firstLine="259"/>
        <w:jc w:val="both"/>
      </w:pPr>
      <w:r>
        <w:rPr>
          <w:rFonts w:ascii="Times New Roman" w:hAnsi="Times New Roman"/>
          <w:sz w:val="19"/>
        </w:rPr>
        <w:t>To guarantee absolute mathematical prevention of deficit financing, unauthorized overdraws, and phantom project allocations, the system enforces five strict mathematical invariants at compile-time and runtime across all four governance tiers:</w:t>
      </w:r>
    </w:p>
    <w:p>
      <w:pPr>
        <w:spacing w:before="0" w:after="0" w:line="242" w:lineRule="auto"/>
        <w:ind w:firstLine="259"/>
        <w:jc w:val="both"/>
      </w:pPr>
      <w:r>
        <w:rPr>
          <w:rFonts w:ascii="Times New Roman" w:hAnsi="Times New Roman"/>
          <w:sz w:val="19"/>
        </w:rPr>
        <w:t>Invariant 1 (Central Scheme Allocation Invariant): For any national public infrastructure scheme S_i with sanctioned parliament budget envelope B_sanctioned(S_i), the total capital devolved across all M federated state treasuries cannot exceed the sanctioned envelope:</w:t>
      </w:r>
    </w:p>
    <w:tbl>
      <w:tblPr>
        <w:tblW w:type="auto" w:w="0"/>
        <w:jc w:val="center"/>
        <w:tblLayout w:type="fixed"/>
        <w:tblLook w:firstColumn="1" w:firstRow="1" w:lastColumn="0" w:lastRow="0" w:noHBand="0" w:noVBand="1" w:val="04A0"/>
      </w:tblPr>
      <w:tblGrid>
        <w:gridCol w:w="5184"/>
        <w:gridCol w:w="5184"/>
      </w:tblGrid>
      <w:tr>
        <w:tc>
          <w:tcPr>
            <w:tcW w:type="dxa" w:w="4248"/>
            <w:tcBorders>
              <w:top w:val="none"/>
              <w:left w:val="none"/>
              <w:bottom w:val="none"/>
              <w:right w:val="none"/>
            </w:tcBorders>
          </w:tcPr>
          <w:p>
            <w:pPr>
              <w:spacing w:before="20" w:after="20"/>
              <w:jc w:val="center"/>
            </w:pPr>
            <w:r>
              <w:rPr>
                <w:rFonts w:ascii="Times New Roman" w:hAnsi="Times New Roman"/>
                <w:i/>
                <w:sz w:val="17"/>
              </w:rPr>
              <w:t>sum_{k=1}^{M} T_state^{(k)}(S_i)  &lt;=  B_sanctioned(S_i)</w:t>
            </w:r>
          </w:p>
        </w:tc>
        <w:tc>
          <w:tcPr>
            <w:tcW w:type="dxa" w:w="648"/>
            <w:tcBorders>
              <w:top w:val="none"/>
              <w:left w:val="none"/>
              <w:bottom w:val="none"/>
              <w:right w:val="none"/>
            </w:tcBorders>
          </w:tcPr>
          <w:p>
            <w:pPr>
              <w:spacing w:before="20" w:after="20"/>
              <w:jc w:val="right"/>
            </w:pPr>
            <w:r>
              <w:rPr>
                <w:rFonts w:ascii="Times New Roman" w:hAnsi="Times New Roman"/>
                <w:sz w:val="17"/>
              </w:rPr>
              <w:t>(1)</w:t>
            </w:r>
          </w:p>
        </w:tc>
      </w:tr>
    </w:tbl>
    <w:p>
      <w:pPr>
        <w:spacing w:before="0" w:after="0" w:line="242" w:lineRule="auto"/>
        <w:ind w:firstLine="259"/>
        <w:jc w:val="both"/>
      </w:pPr>
      <w:r>
        <w:rPr>
          <w:rFonts w:ascii="Times New Roman" w:hAnsi="Times New Roman"/>
          <w:sz w:val="19"/>
        </w:rPr>
        <w:t>Invariant 2 (State Treasury Devolution Invariant): For any state k having received cumulative central devolution T_state^{(k)}, the total allocation sub-divided across its P subordinate district collectorates cannot exceed the net received state balance:</w:t>
      </w:r>
    </w:p>
    <w:tbl>
      <w:tblPr>
        <w:tblW w:type="auto" w:w="0"/>
        <w:jc w:val="center"/>
        <w:tblLayout w:type="fixed"/>
        <w:tblLook w:firstColumn="1" w:firstRow="1" w:lastColumn="0" w:lastRow="0" w:noHBand="0" w:noVBand="1" w:val="04A0"/>
      </w:tblPr>
      <w:tblGrid>
        <w:gridCol w:w="5184"/>
        <w:gridCol w:w="5184"/>
      </w:tblGrid>
      <w:tr>
        <w:tc>
          <w:tcPr>
            <w:tcW w:type="dxa" w:w="4248"/>
            <w:tcBorders>
              <w:top w:val="none"/>
              <w:left w:val="none"/>
              <w:bottom w:val="none"/>
              <w:right w:val="none"/>
            </w:tcBorders>
          </w:tcPr>
          <w:p>
            <w:pPr>
              <w:spacing w:before="20" w:after="20"/>
              <w:jc w:val="center"/>
            </w:pPr>
            <w:r>
              <w:rPr>
                <w:rFonts w:ascii="Times New Roman" w:hAnsi="Times New Roman"/>
                <w:i/>
                <w:sz w:val="17"/>
              </w:rPr>
              <w:t>sum_{j=1}^{P} D_dist^{(j)}(k)  &lt;=  T_state^{(k)}</w:t>
            </w:r>
          </w:p>
        </w:tc>
        <w:tc>
          <w:tcPr>
            <w:tcW w:type="dxa" w:w="648"/>
            <w:tcBorders>
              <w:top w:val="none"/>
              <w:left w:val="none"/>
              <w:bottom w:val="none"/>
              <w:right w:val="none"/>
            </w:tcBorders>
          </w:tcPr>
          <w:p>
            <w:pPr>
              <w:spacing w:before="20" w:after="20"/>
              <w:jc w:val="right"/>
            </w:pPr>
            <w:r>
              <w:rPr>
                <w:rFonts w:ascii="Times New Roman" w:hAnsi="Times New Roman"/>
                <w:sz w:val="17"/>
              </w:rPr>
              <w:t>(2)</w:t>
            </w:r>
          </w:p>
        </w:tc>
      </w:tr>
    </w:tbl>
    <w:p>
      <w:pPr>
        <w:spacing w:before="0" w:after="0" w:line="242" w:lineRule="auto"/>
        <w:ind w:firstLine="259"/>
        <w:jc w:val="both"/>
      </w:pPr>
      <w:r>
        <w:rPr>
          <w:rFonts w:ascii="Times New Roman" w:hAnsi="Times New Roman"/>
          <w:sz w:val="19"/>
        </w:rPr>
        <w:t>Invariant 3 (District Project Sanction Invariant): For any district DRDA j having received district quota D_dist^{(j)}, the cumulative budget committed across its Q executed infrastructure projects cannot exceed the district quota pool:</w:t>
      </w:r>
    </w:p>
    <w:tbl>
      <w:tblPr>
        <w:tblW w:type="auto" w:w="0"/>
        <w:jc w:val="center"/>
        <w:tblLayout w:type="fixed"/>
        <w:tblLook w:firstColumn="1" w:firstRow="1" w:lastColumn="0" w:lastRow="0" w:noHBand="0" w:noVBand="1" w:val="04A0"/>
      </w:tblPr>
      <w:tblGrid>
        <w:gridCol w:w="5184"/>
        <w:gridCol w:w="5184"/>
      </w:tblGrid>
      <w:tr>
        <w:tc>
          <w:tcPr>
            <w:tcW w:type="dxa" w:w="4248"/>
            <w:tcBorders>
              <w:top w:val="none"/>
              <w:left w:val="none"/>
              <w:bottom w:val="none"/>
              <w:right w:val="none"/>
            </w:tcBorders>
          </w:tcPr>
          <w:p>
            <w:pPr>
              <w:spacing w:before="20" w:after="20"/>
              <w:jc w:val="center"/>
            </w:pPr>
            <w:r>
              <w:rPr>
                <w:rFonts w:ascii="Times New Roman" w:hAnsi="Times New Roman"/>
                <w:i/>
                <w:sz w:val="17"/>
              </w:rPr>
              <w:t>sum_{p=1}^{Q} P_project^{(p)}(j)  &lt;=  D_dist^{(j)}</w:t>
            </w:r>
          </w:p>
        </w:tc>
        <w:tc>
          <w:tcPr>
            <w:tcW w:type="dxa" w:w="648"/>
            <w:tcBorders>
              <w:top w:val="none"/>
              <w:left w:val="none"/>
              <w:bottom w:val="none"/>
              <w:right w:val="none"/>
            </w:tcBorders>
          </w:tcPr>
          <w:p>
            <w:pPr>
              <w:spacing w:before="20" w:after="20"/>
              <w:jc w:val="right"/>
            </w:pPr>
            <w:r>
              <w:rPr>
                <w:rFonts w:ascii="Times New Roman" w:hAnsi="Times New Roman"/>
                <w:sz w:val="17"/>
              </w:rPr>
              <w:t>(3)</w:t>
            </w:r>
          </w:p>
        </w:tc>
      </w:tr>
    </w:tbl>
    <w:p>
      <w:pPr>
        <w:spacing w:before="0" w:after="0" w:line="242" w:lineRule="auto"/>
        <w:ind w:firstLine="259"/>
        <w:jc w:val="both"/>
      </w:pPr>
      <w:r>
        <w:rPr>
          <w:rFonts w:ascii="Times New Roman" w:hAnsi="Times New Roman"/>
          <w:sz w:val="19"/>
        </w:rPr>
        <w:t>Invariant 4 (Milestone-Based Escrow Disbursal Invariant): For any project p locked within on-chain escrow vault with budget P_project^{(p)}, payment releases occur in three sequential milestone tranches (N = 3) where cumulative disbursed capital cannot exceed the total project escrow budget:</w:t>
      </w:r>
    </w:p>
    <w:tbl>
      <w:tblPr>
        <w:tblW w:type="auto" w:w="0"/>
        <w:jc w:val="center"/>
        <w:tblLayout w:type="fixed"/>
        <w:tblLook w:firstColumn="1" w:firstRow="1" w:lastColumn="0" w:lastRow="0" w:noHBand="0" w:noVBand="1" w:val="04A0"/>
      </w:tblPr>
      <w:tblGrid>
        <w:gridCol w:w="5184"/>
        <w:gridCol w:w="5184"/>
      </w:tblGrid>
      <w:tr>
        <w:tc>
          <w:tcPr>
            <w:tcW w:type="dxa" w:w="4248"/>
            <w:tcBorders>
              <w:top w:val="none"/>
              <w:left w:val="none"/>
              <w:bottom w:val="none"/>
              <w:right w:val="none"/>
            </w:tcBorders>
          </w:tcPr>
          <w:p>
            <w:pPr>
              <w:spacing w:before="20" w:after="20"/>
              <w:jc w:val="center"/>
            </w:pPr>
            <w:r>
              <w:rPr>
                <w:rFonts w:ascii="Times New Roman" w:hAnsi="Times New Roman"/>
                <w:i/>
                <w:sz w:val="17"/>
              </w:rPr>
              <w:t>sum_{m=1}^{N} R_milestone^{(m)}(p)  &lt;=  P_project^{(p)}</w:t>
            </w:r>
          </w:p>
        </w:tc>
        <w:tc>
          <w:tcPr>
            <w:tcW w:type="dxa" w:w="648"/>
            <w:tcBorders>
              <w:top w:val="none"/>
              <w:left w:val="none"/>
              <w:bottom w:val="none"/>
              <w:right w:val="none"/>
            </w:tcBorders>
          </w:tcPr>
          <w:p>
            <w:pPr>
              <w:spacing w:before="20" w:after="20"/>
              <w:jc w:val="right"/>
            </w:pPr>
            <w:r>
              <w:rPr>
                <w:rFonts w:ascii="Times New Roman" w:hAnsi="Times New Roman"/>
                <w:sz w:val="17"/>
              </w:rPr>
              <w:t>(4)</w:t>
            </w:r>
          </w:p>
        </w:tc>
      </w:tr>
    </w:tbl>
    <w:p>
      <w:pPr>
        <w:spacing w:before="0" w:after="0" w:line="242" w:lineRule="auto"/>
        <w:ind w:firstLine="259"/>
        <w:jc w:val="both"/>
      </w:pPr>
      <w:r>
        <w:rPr>
          <w:rFonts w:ascii="Times New Roman" w:hAnsi="Times New Roman"/>
          <w:sz w:val="19"/>
        </w:rPr>
        <w:t>where the tranche distribution enforces a standardized civil engineering lifecycle:</w:t>
      </w:r>
    </w:p>
    <w:tbl>
      <w:tblPr>
        <w:tblW w:type="auto" w:w="0"/>
        <w:jc w:val="center"/>
        <w:tblLayout w:type="fixed"/>
        <w:tblLook w:firstColumn="1" w:firstRow="1" w:lastColumn="0" w:lastRow="0" w:noHBand="0" w:noVBand="1" w:val="04A0"/>
      </w:tblPr>
      <w:tblGrid>
        <w:gridCol w:w="5184"/>
        <w:gridCol w:w="5184"/>
      </w:tblGrid>
      <w:tr>
        <w:tc>
          <w:tcPr>
            <w:tcW w:type="dxa" w:w="4248"/>
            <w:tcBorders>
              <w:top w:val="none"/>
              <w:left w:val="none"/>
              <w:bottom w:val="none"/>
              <w:right w:val="none"/>
            </w:tcBorders>
          </w:tcPr>
          <w:p>
            <w:pPr>
              <w:spacing w:before="20" w:after="20"/>
              <w:jc w:val="center"/>
            </w:pPr>
            <w:r>
              <w:rPr>
                <w:rFonts w:ascii="Times New Roman" w:hAnsi="Times New Roman"/>
                <w:i/>
                <w:sz w:val="17"/>
              </w:rPr>
              <w:t>R^{(1)} = 0.30 * P,    R^{(2)} = 0.40 * P,    R^{(3)} = 0.30 * P</w:t>
            </w:r>
          </w:p>
        </w:tc>
        <w:tc>
          <w:tcPr>
            <w:tcW w:type="dxa" w:w="648"/>
            <w:tcBorders>
              <w:top w:val="none"/>
              <w:left w:val="none"/>
              <w:bottom w:val="none"/>
              <w:right w:val="none"/>
            </w:tcBorders>
          </w:tcPr>
          <w:p>
            <w:pPr>
              <w:spacing w:before="20" w:after="20"/>
              <w:jc w:val="right"/>
            </w:pPr>
            <w:r>
              <w:rPr>
                <w:rFonts w:ascii="Times New Roman" w:hAnsi="Times New Roman"/>
                <w:sz w:val="17"/>
              </w:rPr>
              <w:t>(5)</w:t>
            </w:r>
          </w:p>
        </w:tc>
      </w:tr>
    </w:tbl>
    <w:p>
      <w:pPr>
        <w:spacing w:before="0" w:after="0" w:line="242" w:lineRule="auto"/>
        <w:ind w:firstLine="259"/>
        <w:jc w:val="both"/>
      </w:pPr>
      <w:r>
        <w:rPr>
          <w:rFonts w:ascii="Times New Roman" w:hAnsi="Times New Roman"/>
          <w:sz w:val="19"/>
        </w:rPr>
        <w:t>Invariant 5 (Cryptographic Evidence Anchoring Invariant): Before milestone tranche R^{(m)} can transition to released state on-chain, contractor uploaded deliverables—consisting of high-resolution site photographs E_photo, vendor invoices E_invoice, and GPS boundary telemetry E_geo—must be deterministically hashed off-chain using SHA-256 to produce an immutable 32-byte digest H_digest. The smart contract evaluates mathematical equality before releasing escrow funds:</w:t>
      </w:r>
    </w:p>
    <w:tbl>
      <w:tblPr>
        <w:tblW w:type="auto" w:w="0"/>
        <w:jc w:val="center"/>
        <w:tblLayout w:type="fixed"/>
        <w:tblLook w:firstColumn="1" w:firstRow="1" w:lastColumn="0" w:lastRow="0" w:noHBand="0" w:noVBand="1" w:val="04A0"/>
      </w:tblPr>
      <w:tblGrid>
        <w:gridCol w:w="5184"/>
        <w:gridCol w:w="5184"/>
      </w:tblGrid>
      <w:tr>
        <w:tc>
          <w:tcPr>
            <w:tcW w:type="dxa" w:w="4248"/>
            <w:tcBorders>
              <w:top w:val="none"/>
              <w:left w:val="none"/>
              <w:bottom w:val="none"/>
              <w:right w:val="none"/>
            </w:tcBorders>
          </w:tcPr>
          <w:p>
            <w:pPr>
              <w:spacing w:before="20" w:after="20"/>
              <w:jc w:val="center"/>
            </w:pPr>
            <w:r>
              <w:rPr>
                <w:rFonts w:ascii="Times New Roman" w:hAnsi="Times New Roman"/>
                <w:i/>
                <w:sz w:val="17"/>
              </w:rPr>
              <w:t>Verify(E) = 1( keccak256(H_stored) == keccak256(H_computed) )</w:t>
            </w:r>
          </w:p>
        </w:tc>
        <w:tc>
          <w:tcPr>
            <w:tcW w:type="dxa" w:w="648"/>
            <w:tcBorders>
              <w:top w:val="none"/>
              <w:left w:val="none"/>
              <w:bottom w:val="none"/>
              <w:right w:val="none"/>
            </w:tcBorders>
          </w:tcPr>
          <w:p>
            <w:pPr>
              <w:spacing w:before="20" w:after="20"/>
              <w:jc w:val="right"/>
            </w:pPr>
            <w:r>
              <w:rPr>
                <w:rFonts w:ascii="Times New Roman" w:hAnsi="Times New Roman"/>
                <w:sz w:val="17"/>
              </w:rPr>
              <w:t>(6)</w:t>
            </w:r>
          </w:p>
        </w:tc>
      </w:tr>
    </w:tbl>
    <w:p>
      <w:pPr>
        <w:keepNext/>
        <w:spacing w:before="40" w:after="10"/>
        <w:jc w:val="left"/>
      </w:pPr>
      <w:r>
        <w:rPr>
          <w:rFonts w:ascii="Times New Roman" w:hAnsi="Times New Roman"/>
          <w:b/>
          <w:sz w:val="19"/>
        </w:rPr>
        <w:t>3.2 Statutory Privacy and Security Constraints</w:t>
      </w:r>
    </w:p>
    <w:p>
      <w:pPr>
        <w:spacing w:before="0" w:after="0" w:line="242" w:lineRule="auto"/>
        <w:ind w:firstLine="259"/>
        <w:jc w:val="both"/>
      </w:pPr>
      <w:r>
        <w:rPr>
          <w:rFonts w:ascii="Times New Roman" w:hAnsi="Times New Roman"/>
          <w:sz w:val="19"/>
        </w:rPr>
        <w:t>In addition to mathematical devolution invariants, the problem formulation imposes strict statutory data protection constraints:</w:t>
      </w:r>
    </w:p>
    <w:p>
      <w:pPr>
        <w:spacing w:before="0" w:after="0" w:line="242" w:lineRule="auto"/>
        <w:ind w:firstLine="259"/>
        <w:jc w:val="both"/>
      </w:pPr>
      <w:r>
        <w:rPr>
          <w:rFonts w:ascii="Times New Roman" w:hAnsi="Times New Roman"/>
          <w:sz w:val="19"/>
        </w:rPr>
        <w:t>1) Masked Banking Privacy: In compliance with statutory financial confidentiality, raw bank account numbers and sensitive beneficiary identifiers must be masked across all public APIs and UI views (e.g. XXXX-XXXX-1234), with raw digits strictly restricted to secure administrative decryption pipelines.</w:t>
      </w:r>
    </w:p>
    <w:p>
      <w:pPr>
        <w:spacing w:before="0" w:after="0" w:line="242" w:lineRule="auto"/>
        <w:ind w:firstLine="259"/>
        <w:jc w:val="both"/>
      </w:pPr>
      <w:r>
        <w:rPr>
          <w:rFonts w:ascii="Times New Roman" w:hAnsi="Times New Roman"/>
          <w:sz w:val="19"/>
        </w:rPr>
        <w:t>2) Zero-Sensitive QR Codes: Universal QR codes physically erected on roadside project signboards must encode strictly the canonical unauthenticated verification URL (http://&lt;host&gt;:5173/verify/&lt;qrId&gt;) without embedding private keys, financial tokens, or internal database primary keys.</w:t>
      </w:r>
    </w:p>
    <w:p>
      <w:pPr>
        <w:keepNext/>
        <w:spacing w:before="50" w:after="20"/>
        <w:jc w:val="left"/>
      </w:pPr>
      <w:r>
        <w:rPr>
          <w:rFonts w:ascii="Times New Roman" w:hAnsi="Times New Roman"/>
          <w:b/>
          <w:sz w:val="20"/>
        </w:rPr>
        <w:t>IV. Proposed Methodology:</w:t>
      </w:r>
    </w:p>
    <w:p>
      <w:pPr>
        <w:spacing w:before="0" w:after="0" w:line="242" w:lineRule="auto"/>
        <w:ind w:firstLine="259"/>
        <w:jc w:val="both"/>
      </w:pPr>
      <w:r>
        <w:rPr>
          <w:rFonts w:ascii="Times New Roman" w:hAnsi="Times New Roman"/>
          <w:sz w:val="19"/>
        </w:rPr>
        <w:t>The proposed research methodology adopts a multi-tier, hybrid on-chain/off-chain architectural paradigm specifically designed to eliminate the latency, cost, and privacy bottlenecks of fully on-chain networks while eradicating the opacity and mutability of centralized databases.</w:t>
      </w:r>
    </w:p>
    <w:p>
      <w:pPr>
        <w:keepNext/>
        <w:spacing w:before="40" w:after="10"/>
        <w:jc w:val="left"/>
      </w:pPr>
      <w:r>
        <w:rPr>
          <w:rFonts w:ascii="Times New Roman" w:hAnsi="Times New Roman"/>
          <w:b/>
          <w:sz w:val="19"/>
        </w:rPr>
        <w:t>4.1 Dual-Layer Ceiling Invariant Enforcement Protocol</w:t>
      </w:r>
    </w:p>
    <w:p>
      <w:pPr>
        <w:spacing w:before="0" w:after="0" w:line="242" w:lineRule="auto"/>
        <w:ind w:firstLine="259"/>
        <w:jc w:val="both"/>
      </w:pPr>
      <w:r>
        <w:rPr>
          <w:rFonts w:ascii="Times New Roman" w:hAnsi="Times New Roman"/>
          <w:sz w:val="19"/>
        </w:rPr>
        <w:t>To prevent concurrency race conditions and overdraw attacks during simultaneous administrative transfers, the system implements a dual-layer validation and optimistic reservation protocol:</w:t>
      </w:r>
    </w:p>
    <w:p>
      <w:pPr>
        <w:spacing w:before="0" w:after="0" w:line="242" w:lineRule="auto"/>
        <w:ind w:firstLine="259"/>
        <w:jc w:val="both"/>
      </w:pPr>
      <w:r>
        <w:rPr>
          <w:rFonts w:ascii="Times New Roman" w:hAnsi="Times New Roman"/>
          <w:sz w:val="19"/>
        </w:rPr>
        <w:t>1) Off-Chain Pre-Flight Reservation: Upon receiving an allocation request, the FastAPI gateway queries MongoDB using an atomic aggregation pipeline ($expr: {$lte: ["$released_amount", "$total_budget"]}). If the request satisfies off-chain balances, an atomic reservation lock temporarily holds the requested amount.</w:t>
      </w:r>
    </w:p>
    <w:p>
      <w:pPr>
        <w:spacing w:before="0" w:after="0" w:line="242" w:lineRule="auto"/>
        <w:ind w:firstLine="259"/>
        <w:jc w:val="both"/>
      </w:pPr>
      <w:r>
        <w:rPr>
          <w:rFonts w:ascii="Times New Roman" w:hAnsi="Times New Roman"/>
          <w:sz w:val="19"/>
        </w:rPr>
        <w:t>2) On-Chain Cryptographic Execution: The Web3.py service layer constructs an Ethereum transaction signed with the department ECDSA private key. The smart contract function (e.g., transferToStateWithReceiver or allocateToDistrictWithReceiver) evaluates the require() ceiling checks directly in the EVM.</w:t>
      </w:r>
    </w:p>
    <w:p>
      <w:pPr>
        <w:spacing w:before="0" w:after="0" w:line="242" w:lineRule="auto"/>
        <w:ind w:firstLine="259"/>
        <w:jc w:val="both"/>
      </w:pPr>
      <w:r>
        <w:rPr>
          <w:rFonts w:ascii="Times New Roman" w:hAnsi="Times New Roman"/>
          <w:sz w:val="19"/>
        </w:rPr>
        <w:t>3) Atomic Compensation Rollback: If the blockchain transaction succeeds (receipt status = 1), the MongoDB reservation is finalized, and an immutable transaction log is mirrored. If the transaction reverts due to an on-chain ceiling breach, an automated compensation rollback releases the off-chain reservation, guaranteeing that the off-chain and on-chain stores never diverge.</w:t>
      </w:r>
    </w:p>
    <w:p>
      <w:pPr>
        <w:keepNext/>
        <w:spacing w:before="40" w:after="10"/>
        <w:jc w:val="left"/>
      </w:pPr>
      <w:r>
        <w:rPr>
          <w:rFonts w:ascii="Times New Roman" w:hAnsi="Times New Roman"/>
          <w:b/>
          <w:sz w:val="19"/>
        </w:rPr>
        <w:t>4.2 Milestone-Based Escrow Release Protocol</w:t>
      </w:r>
    </w:p>
    <w:p>
      <w:pPr>
        <w:spacing w:before="0" w:after="0" w:line="242" w:lineRule="auto"/>
        <w:ind w:firstLine="259"/>
        <w:jc w:val="both"/>
      </w:pPr>
      <w:r>
        <w:rPr>
          <w:rFonts w:ascii="Times New Roman" w:hAnsi="Times New Roman"/>
          <w:sz w:val="19"/>
        </w:rPr>
        <w:t>Contractor financial payouts follow a strict milestone-based escrow release protocol. Rather than disbursing lump-sum advances vulnerable to contractor default, funds are locked in smart contract escrow vaults (ProjectEscrow) upon contract signing. Release occurs strictly in three functional phases:</w:t>
      </w:r>
    </w:p>
    <w:p>
      <w:pPr>
        <w:spacing w:before="0" w:after="0" w:line="242" w:lineRule="auto"/>
        <w:ind w:firstLine="259"/>
        <w:jc w:val="both"/>
      </w:pPr>
      <w:r>
        <w:rPr>
          <w:rFonts w:ascii="Times New Roman" w:hAnsi="Times New Roman"/>
          <w:sz w:val="19"/>
        </w:rPr>
        <w:t>• Phase 1 (30% Mobilization Tranche): Released after contractor site establishment, initial material procurement, and district officer approval of initial survey reports.</w:t>
      </w:r>
    </w:p>
    <w:p>
      <w:pPr>
        <w:spacing w:before="0" w:after="0" w:line="242" w:lineRule="auto"/>
        <w:ind w:firstLine="259"/>
        <w:jc w:val="both"/>
      </w:pPr>
      <w:r>
        <w:rPr>
          <w:rFonts w:ascii="Times New Roman" w:hAnsi="Times New Roman"/>
          <w:sz w:val="19"/>
        </w:rPr>
        <w:t>• Phase 2 (40% Intermediate Structural Execution Tranche): Released upon reaching 50% physical completion, verified by geotagged photographic progress proofs and laboratory concrete cube test certificates.</w:t>
      </w:r>
    </w:p>
    <w:p>
      <w:pPr>
        <w:spacing w:before="0" w:after="0" w:line="242" w:lineRule="auto"/>
        <w:ind w:firstLine="259"/>
        <w:jc w:val="both"/>
      </w:pPr>
      <w:r>
        <w:rPr>
          <w:rFonts w:ascii="Times New Roman" w:hAnsi="Times New Roman"/>
          <w:sz w:val="19"/>
        </w:rPr>
        <w:t>• Phase 3 (30% Project Commissioning Tranche): Released upon 100% project completion, physical site inspection by the district engineer, and submission of final vendor invoices.</w:t>
      </w:r>
    </w:p>
    <w:p>
      <w:pPr>
        <w:spacing w:before="0" w:after="0" w:line="242" w:lineRule="auto"/>
        <w:ind w:firstLine="259"/>
        <w:jc w:val="both"/>
      </w:pPr>
      <w:r>
        <w:rPr>
          <w:rFonts w:ascii="Times New Roman" w:hAnsi="Times New Roman"/>
          <w:sz w:val="19"/>
        </w:rPr>
        <w:t>Each milestone claim requires the contractor to upload evidence files. The backend computes the SHA-256 cryptographic digest of the file stream, submits the digest to the smart contract via submitMilestoneProgress(), and notifies the district collectorate via real-time WebSockets. Payment is released only when the district officer invokes releaseMilestonePayment() on-chain.</w:t>
      </w:r>
    </w:p>
    <w:p>
      <w:pPr>
        <w:keepNext/>
        <w:spacing w:before="40" w:after="10"/>
        <w:jc w:val="left"/>
      </w:pPr>
      <w:r>
        <w:rPr>
          <w:rFonts w:ascii="Times New Roman" w:hAnsi="Times New Roman"/>
          <w:b/>
          <w:sz w:val="19"/>
        </w:rPr>
        <w:t>4.3 Universal Public QR Code Verification Gateway</w:t>
      </w:r>
    </w:p>
    <w:p>
      <w:pPr>
        <w:spacing w:before="0" w:after="0" w:line="242" w:lineRule="auto"/>
        <w:ind w:firstLine="259"/>
        <w:jc w:val="both"/>
      </w:pPr>
      <w:r>
        <w:rPr>
          <w:rFonts w:ascii="Times New Roman" w:hAnsi="Times New Roman"/>
          <w:sz w:val="19"/>
        </w:rPr>
        <w:t>To empower civic oversight and eliminate the historic information asymmetry between government departments and local communities, the system implements a zero-friction, unauthenticated QR code verification pipeline. Upon contractor contract acceptance, the QR service generates a cryptographically distinct identifier QR-CON-&lt;year&gt;-&lt;suffix&gt; and embeds a base64 Data URI PNG encoding the public verification URL. When scanned by citizens or journalists on physical roadside project signboards, the endpoint resolves the project lifecycle, budget breakdown, contractor details, geotagged photos, and verified Sepolia Etherscan transaction hashes without prompting for login or authentication.</w:t>
      </w:r>
    </w:p>
    <w:p>
      <w:pPr>
        <w:keepNext/>
        <w:spacing w:before="40" w:after="10"/>
        <w:jc w:val="left"/>
      </w:pPr>
      <w:r>
        <w:rPr>
          <w:rFonts w:ascii="Times New Roman" w:hAnsi="Times New Roman"/>
          <w:b/>
          <w:sz w:val="19"/>
        </w:rPr>
        <w:t>4.4 Dual-Ledger State Synchronization and Reconciliation Methodology</w:t>
      </w:r>
    </w:p>
    <w:p>
      <w:pPr>
        <w:spacing w:before="0" w:after="0" w:line="242" w:lineRule="auto"/>
        <w:ind w:firstLine="259"/>
        <w:jc w:val="both"/>
      </w:pPr>
      <w:r>
        <w:rPr>
          <w:rFonts w:ascii="Times New Roman" w:hAnsi="Times New Roman"/>
          <w:sz w:val="19"/>
        </w:rPr>
        <w:t>To ensure perpetual state consistency between the off-chain document datastore and on-chain consensus state, an automated reconciliation algorithm executes continuously. For every registered allocation, state transfer, and project escrow, the service queries on-chain mappings (budgetAllocations, stateTransfers, districtAllocations, projectEscrows) using Web3.py and cross-references stored monetary values, milestone indices, and released amounts against corresponding MongoDB collections. Discrepancies, unconfirmed transaction hashes, or EVM execution failures trigger immediate alert notifications to CAG auditors and automatically flag the affected project record for forensic review.</w:t>
      </w:r>
    </w:p>
    <w:p>
      <w:pPr>
        <w:keepNext/>
        <w:spacing w:before="50" w:after="20"/>
        <w:jc w:val="left"/>
      </w:pPr>
      <w:r>
        <w:rPr>
          <w:rFonts w:ascii="Times New Roman" w:hAnsi="Times New Roman"/>
          <w:b/>
          <w:sz w:val="20"/>
        </w:rPr>
        <w:t>V. System Architecture and Workflow:</w:t>
      </w:r>
    </w:p>
    <w:p>
      <w:pPr>
        <w:spacing w:before="0" w:after="0" w:line="242" w:lineRule="auto"/>
        <w:ind w:firstLine="259"/>
        <w:jc w:val="both"/>
      </w:pPr>
      <w:r>
        <w:rPr>
          <w:rFonts w:ascii="Times New Roman" w:hAnsi="Times New Roman"/>
          <w:sz w:val="19"/>
        </w:rPr>
        <w:t>The comprehensive system architecture is organized into five decoupled, cohesive architectural layers, designed to maintain high computational throughput, modular role separation, and absolute auditability:</w:t>
      </w:r>
    </w:p>
    <w:p>
      <w:pPr>
        <w:spacing w:before="0" w:after="0" w:line="242" w:lineRule="auto"/>
        <w:ind w:firstLine="259"/>
        <w:jc w:val="both"/>
      </w:pPr>
      <w:r>
        <w:rPr>
          <w:rFonts w:ascii="Times New Roman" w:hAnsi="Times New Roman"/>
          <w:sz w:val="19"/>
        </w:rPr>
        <w:t>1) Presentation Layer: Built with React 18 and Vite 6, dynamically partitioned into five dedicated portals using environment configurations: Admin Portal (Cabinet Secretariat and Central Planning), Field Portal (State Treasuries and District DRDAs), Contractor Portal (KYC, tendering, and claims), Public Portal (citizen explorer and grievances), and Auditor Portal (CAG vigilance and forensic anomaly oversight).</w:t>
      </w:r>
    </w:p>
    <w:p>
      <w:pPr>
        <w:spacing w:before="0" w:after="0" w:line="242" w:lineRule="auto"/>
        <w:ind w:firstLine="259"/>
        <w:jc w:val="both"/>
      </w:pPr>
      <w:r>
        <w:rPr>
          <w:rFonts w:ascii="Times New Roman" w:hAnsi="Times New Roman"/>
          <w:sz w:val="19"/>
        </w:rPr>
        <w:t>2) API &amp; Access Gateway Layer: Implemented in Python 3.10+ using FastAPI and Uvicorn. Enforces JSON Web Token (JWT) authentication, Role-Based Access Control (RBAC), jurisdiction scoping (isolating state and district records), native asynchronous WebSocket broadcasting (/ws), and input sanitization.</w:t>
      </w:r>
    </w:p>
    <w:p>
      <w:pPr>
        <w:spacing w:before="0" w:after="0" w:line="242" w:lineRule="auto"/>
        <w:ind w:firstLine="259"/>
        <w:jc w:val="both"/>
      </w:pPr>
      <w:r>
        <w:rPr>
          <w:rFonts w:ascii="Times New Roman" w:hAnsi="Times New Roman"/>
          <w:sz w:val="19"/>
        </w:rPr>
        <w:t>3) Application Core Services: Houses specialized micro-services including the Masked Bank Account Service (virtual escrow accounts), QR Code Engine, Dual-Ledger Reconciliation Service, and Forensic Audit Anomaly Engine.</w:t>
      </w:r>
    </w:p>
    <w:p>
      <w:pPr>
        <w:spacing w:before="0" w:after="0" w:line="242" w:lineRule="auto"/>
        <w:ind w:firstLine="259"/>
        <w:jc w:val="both"/>
      </w:pPr>
      <w:r>
        <w:rPr>
          <w:rFonts w:ascii="Times New Roman" w:hAnsi="Times New Roman"/>
          <w:sz w:val="19"/>
        </w:rPr>
        <w:t>4) Off-Chain Persistence Layer: Utilizes MongoDB (local or Atlas cloud) containing 18 collections and 45+ compound indexes, paired with a secure local repository for bulky digital documents and media.</w:t>
      </w:r>
    </w:p>
    <w:p>
      <w:pPr>
        <w:spacing w:before="0" w:after="0" w:line="242" w:lineRule="auto"/>
        <w:ind w:firstLine="259"/>
        <w:jc w:val="both"/>
      </w:pPr>
      <w:r>
        <w:rPr>
          <w:rFonts w:ascii="Times New Roman" w:hAnsi="Times New Roman"/>
          <w:sz w:val="19"/>
        </w:rPr>
        <w:t>5) On-Chain Consensus Layer: Powered by the Ethereum Sepolia Testnet (Chain ID: 11155111) executing GovernmentFundTracking.sol (Solidity 0.8.24) to maintain the single source of financial truth.</w:t>
      </w:r>
    </w:p>
    <w:p>
      <w:pPr>
        <w:keepNext/>
        <w:spacing w:before="50" w:after="20"/>
        <w:jc w:val="center"/>
      </w:pPr>
      <w:r>
        <w:drawing>
          <wp:inline xmlns:a="http://schemas.openxmlformats.org/drawingml/2006/main" xmlns:pic="http://schemas.openxmlformats.org/drawingml/2006/picture">
            <wp:extent cx="2971800" cy="1919288"/>
            <wp:docPr id="1" name="Picture 1"/>
            <wp:cNvGraphicFramePr>
              <a:graphicFrameLocks noChangeAspect="1"/>
            </wp:cNvGraphicFramePr>
            <a:graphic>
              <a:graphicData uri="http://schemas.openxmlformats.org/drawingml/2006/picture">
                <pic:pic>
                  <pic:nvPicPr>
                    <pic:cNvPr id="0" name="system_block_diagram.png"/>
                    <pic:cNvPicPr/>
                  </pic:nvPicPr>
                  <pic:blipFill>
                    <a:blip r:embed="rId13"/>
                    <a:stretch>
                      <a:fillRect/>
                    </a:stretch>
                  </pic:blipFill>
                  <pic:spPr>
                    <a:xfrm>
                      <a:off x="0" y="0"/>
                      <a:ext cx="2971800" cy="1919288"/>
                    </a:xfrm>
                    <a:prstGeom prst="rect"/>
                  </pic:spPr>
                </pic:pic>
              </a:graphicData>
            </a:graphic>
          </wp:inline>
        </w:drawing>
      </w:r>
    </w:p>
    <w:p>
      <w:pPr>
        <w:keepNext/>
        <w:spacing w:before="20" w:after="30"/>
        <w:jc w:val="center"/>
      </w:pPr>
      <w:r>
        <w:rPr>
          <w:rFonts w:ascii="Times New Roman" w:hAnsi="Times New Roman"/>
          <w:b/>
          <w:sz w:val="17"/>
        </w:rPr>
        <w:t>Fig 1_Architecture of the Proposed Government Fund Tracking System</w:t>
      </w:r>
    </w:p>
    <w:p>
      <w:pPr>
        <w:spacing w:before="0" w:after="0" w:line="242" w:lineRule="auto"/>
        <w:ind w:firstLine="259"/>
        <w:jc w:val="both"/>
      </w:pPr>
      <w:r>
        <w:rPr>
          <w:rFonts w:ascii="Times New Roman" w:hAnsi="Times New Roman"/>
          <w:sz w:val="19"/>
        </w:rPr>
        <w:t>Fig 1 illustrates the high-level block diagram and layered architecture of the proposed hybrid government fund tracking framework. The architecture decouples the system into four interactive tiers: (1) Presentation Layer comprising five role-tailored web portals (Admin, Field, Contractor, Public, and Auditor); (2) API &amp; Access Gateway Layer executing stateless JWT authentication, RBAC function scoping, WebSocket event streaming, and strict schema validation; (3) Application Core Services driving virtual account privacy masking, canonical signboard QR code generation, and continuous dual-ledger reconciliation; and (4) Dual-Store Persistence &amp; Consensus Tier partitioning high-volume inspection media and indexed operational cashbooks in off-chain MongoDB while anchoring four-tier budget invariants, milestone escrow releases, and SHA-256 evidence digests immutably on Ethereum Sepolia.</w:t>
      </w:r>
    </w:p>
    <w:p>
      <w:pPr>
        <w:spacing w:before="0" w:after="0" w:line="242" w:lineRule="auto"/>
        <w:ind w:firstLine="259"/>
        <w:jc w:val="both"/>
      </w:pPr>
      <w:r>
        <w:rPr>
          <w:rFonts w:ascii="Times New Roman" w:hAnsi="Times New Roman"/>
          <w:sz w:val="19"/>
        </w:rPr>
        <w:t>The operational workflow proceeds through seven sequential programmatic stages: In Stage 1, the Super Admin activates the financial cycle and sanctions the national budget on-chain. In Stage 2, the Ministry of Finance devolves quota allocations to State Treasuries. In Stage 3, State Treasuries sub-allocate funds to District DRDAs. In Stage 4, District Agencies create project escrows and configure milestone tranches. In Stage 5, contractors accept tenders, trigger QR issuance, and submit progress proofs with SHA-256 hashes. In Stage 6, District Officers conduct physical site inspections and release milestone tranches on-chain. In Stage 7, citizens verify fund flows via QR signboard scans and file grievances, while CAG auditors monitor anomaly scores and exercise emergency project freezes when necessary.</w:t>
      </w:r>
    </w:p>
    <w:p>
      <w:pPr>
        <w:keepNext/>
        <w:spacing w:before="60" w:after="40"/>
        <w:jc w:val="center"/>
      </w:pPr>
      <w:r>
        <w:rPr>
          <w:rFonts w:ascii="Times New Roman" w:hAnsi="Times New Roman"/>
          <w:b/>
          <w:sz w:val="17"/>
        </w:rPr>
        <w:t>Table 2. Implementation Technology Stack</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592"/>
        <w:gridCol w:w="2592"/>
        <w:gridCol w:w="2592"/>
        <w:gridCol w:w="2592"/>
      </w:tblGrid>
      <w:tr>
        <w:tc>
          <w:tcPr>
            <w:tcW w:type="dxa" w:w="1152"/>
            <w:shd w:fill="F1F5F9"/>
            <w:vAlign w:val="center"/>
          </w:tcPr>
          <w:p>
            <w:pPr>
              <w:spacing w:before="30" w:after="30"/>
              <w:jc w:val="center"/>
            </w:pPr>
            <w:r>
              <w:rPr>
                <w:rFonts w:ascii="Times New Roman" w:hAnsi="Times New Roman"/>
                <w:b/>
                <w:sz w:val="15"/>
              </w:rPr>
              <w:t>System Layer</w:t>
            </w:r>
          </w:p>
        </w:tc>
        <w:tc>
          <w:tcPr>
            <w:tcW w:type="dxa" w:w="1368"/>
            <w:shd w:fill="F1F5F9"/>
            <w:vAlign w:val="center"/>
          </w:tcPr>
          <w:p>
            <w:pPr>
              <w:spacing w:before="30" w:after="30"/>
              <w:jc w:val="center"/>
            </w:pPr>
            <w:r>
              <w:rPr>
                <w:rFonts w:ascii="Times New Roman" w:hAnsi="Times New Roman"/>
                <w:b/>
                <w:sz w:val="15"/>
              </w:rPr>
              <w:t>Technology Component</w:t>
            </w:r>
          </w:p>
        </w:tc>
        <w:tc>
          <w:tcPr>
            <w:tcW w:type="dxa" w:w="1080"/>
            <w:shd w:fill="F1F5F9"/>
            <w:vAlign w:val="center"/>
          </w:tcPr>
          <w:p>
            <w:pPr>
              <w:spacing w:before="30" w:after="30"/>
              <w:jc w:val="center"/>
            </w:pPr>
            <w:r>
              <w:rPr>
                <w:rFonts w:ascii="Times New Roman" w:hAnsi="Times New Roman"/>
                <w:b/>
                <w:sz w:val="15"/>
              </w:rPr>
              <w:t>Version / Standard</w:t>
            </w:r>
          </w:p>
        </w:tc>
        <w:tc>
          <w:tcPr>
            <w:tcW w:type="dxa" w:w="1296"/>
            <w:shd w:fill="F1F5F9"/>
            <w:vAlign w:val="center"/>
          </w:tcPr>
          <w:p>
            <w:pPr>
              <w:spacing w:before="30" w:after="30"/>
              <w:jc w:val="center"/>
            </w:pPr>
            <w:r>
              <w:rPr>
                <w:rFonts w:ascii="Times New Roman" w:hAnsi="Times New Roman"/>
                <w:b/>
                <w:sz w:val="15"/>
              </w:rPr>
              <w:t>Functional Role</w:t>
            </w:r>
          </w:p>
        </w:tc>
      </w:tr>
      <w:tr>
        <w:tc>
          <w:tcPr>
            <w:tcW w:type="dxa" w:w="1152"/>
            <w:vAlign w:val="center"/>
          </w:tcPr>
          <w:p>
            <w:pPr>
              <w:spacing w:before="24" w:after="20"/>
              <w:jc w:val="left"/>
            </w:pPr>
            <w:r>
              <w:rPr>
                <w:rFonts w:ascii="Times New Roman" w:hAnsi="Times New Roman"/>
                <w:sz w:val="14"/>
              </w:rPr>
              <w:t>Blockchain Core</w:t>
            </w:r>
          </w:p>
        </w:tc>
        <w:tc>
          <w:tcPr>
            <w:tcW w:type="dxa" w:w="1368"/>
            <w:vAlign w:val="center"/>
          </w:tcPr>
          <w:p>
            <w:pPr>
              <w:spacing w:before="24" w:after="20"/>
              <w:jc w:val="center"/>
            </w:pPr>
            <w:r>
              <w:rPr>
                <w:rFonts w:ascii="Times New Roman" w:hAnsi="Times New Roman"/>
                <w:sz w:val="14"/>
              </w:rPr>
              <w:t>Solidity / Hardhat</w:t>
            </w:r>
          </w:p>
        </w:tc>
        <w:tc>
          <w:tcPr>
            <w:tcW w:type="dxa" w:w="1080"/>
            <w:vAlign w:val="center"/>
          </w:tcPr>
          <w:p>
            <w:pPr>
              <w:spacing w:before="24" w:after="20"/>
              <w:jc w:val="center"/>
            </w:pPr>
            <w:r>
              <w:rPr>
                <w:rFonts w:ascii="Times New Roman" w:hAnsi="Times New Roman"/>
                <w:sz w:val="14"/>
              </w:rPr>
              <w:t>^0.8.24 / 2.22+</w:t>
            </w:r>
          </w:p>
        </w:tc>
        <w:tc>
          <w:tcPr>
            <w:tcW w:type="dxa" w:w="1296"/>
            <w:vAlign w:val="center"/>
          </w:tcPr>
          <w:p>
            <w:pPr>
              <w:spacing w:before="24" w:after="20"/>
              <w:jc w:val="center"/>
            </w:pPr>
            <w:r>
              <w:rPr>
                <w:rFonts w:ascii="Times New Roman" w:hAnsi="Times New Roman"/>
                <w:sz w:val="14"/>
              </w:rPr>
              <w:t>Smart Contract Governance &amp; Ceilings</w:t>
            </w:r>
          </w:p>
        </w:tc>
      </w:tr>
      <w:tr>
        <w:tc>
          <w:tcPr>
            <w:tcW w:type="dxa" w:w="1152"/>
            <w:vAlign w:val="center"/>
          </w:tcPr>
          <w:p>
            <w:pPr>
              <w:spacing w:before="24" w:after="20"/>
              <w:jc w:val="left"/>
            </w:pPr>
            <w:r>
              <w:rPr>
                <w:rFonts w:ascii="Times New Roman" w:hAnsi="Times New Roman"/>
                <w:sz w:val="14"/>
              </w:rPr>
              <w:t>Public Network</w:t>
            </w:r>
          </w:p>
        </w:tc>
        <w:tc>
          <w:tcPr>
            <w:tcW w:type="dxa" w:w="1368"/>
            <w:vAlign w:val="center"/>
          </w:tcPr>
          <w:p>
            <w:pPr>
              <w:spacing w:before="24" w:after="20"/>
              <w:jc w:val="center"/>
            </w:pPr>
            <w:r>
              <w:rPr>
                <w:rFonts w:ascii="Times New Roman" w:hAnsi="Times New Roman"/>
                <w:sz w:val="14"/>
              </w:rPr>
              <w:t>Ethereum Sepolia</w:t>
            </w:r>
          </w:p>
        </w:tc>
        <w:tc>
          <w:tcPr>
            <w:tcW w:type="dxa" w:w="1080"/>
            <w:vAlign w:val="center"/>
          </w:tcPr>
          <w:p>
            <w:pPr>
              <w:spacing w:before="24" w:after="20"/>
              <w:jc w:val="center"/>
            </w:pPr>
            <w:r>
              <w:rPr>
                <w:rFonts w:ascii="Times New Roman" w:hAnsi="Times New Roman"/>
                <w:sz w:val="14"/>
              </w:rPr>
              <w:t>Chain ID: 11155111</w:t>
            </w:r>
          </w:p>
        </w:tc>
        <w:tc>
          <w:tcPr>
            <w:tcW w:type="dxa" w:w="1296"/>
            <w:vAlign w:val="center"/>
          </w:tcPr>
          <w:p>
            <w:pPr>
              <w:spacing w:before="24" w:after="20"/>
              <w:jc w:val="center"/>
            </w:pPr>
            <w:r>
              <w:rPr>
                <w:rFonts w:ascii="Times New Roman" w:hAnsi="Times New Roman"/>
                <w:sz w:val="14"/>
              </w:rPr>
              <w:t>Consensus Ledger &amp; Etherscan Verification</w:t>
            </w:r>
          </w:p>
        </w:tc>
      </w:tr>
      <w:tr>
        <w:tc>
          <w:tcPr>
            <w:tcW w:type="dxa" w:w="1152"/>
            <w:vAlign w:val="center"/>
          </w:tcPr>
          <w:p>
            <w:pPr>
              <w:spacing w:before="24" w:after="20"/>
              <w:jc w:val="left"/>
            </w:pPr>
            <w:r>
              <w:rPr>
                <w:rFonts w:ascii="Times New Roman" w:hAnsi="Times New Roman"/>
                <w:sz w:val="14"/>
              </w:rPr>
              <w:t>Web3 Interface</w:t>
            </w:r>
          </w:p>
        </w:tc>
        <w:tc>
          <w:tcPr>
            <w:tcW w:type="dxa" w:w="1368"/>
            <w:vAlign w:val="center"/>
          </w:tcPr>
          <w:p>
            <w:pPr>
              <w:spacing w:before="24" w:after="20"/>
              <w:jc w:val="center"/>
            </w:pPr>
            <w:r>
              <w:rPr>
                <w:rFonts w:ascii="Times New Roman" w:hAnsi="Times New Roman"/>
                <w:sz w:val="14"/>
              </w:rPr>
              <w:t>Web3.py &amp; Ethers.js</w:t>
            </w:r>
          </w:p>
        </w:tc>
        <w:tc>
          <w:tcPr>
            <w:tcW w:type="dxa" w:w="1080"/>
            <w:vAlign w:val="center"/>
          </w:tcPr>
          <w:p>
            <w:pPr>
              <w:spacing w:before="24" w:after="20"/>
              <w:jc w:val="center"/>
            </w:pPr>
            <w:r>
              <w:rPr>
                <w:rFonts w:ascii="Times New Roman" w:hAnsi="Times New Roman"/>
                <w:sz w:val="14"/>
              </w:rPr>
              <w:t>v6.15+ / v6.13+</w:t>
            </w:r>
          </w:p>
        </w:tc>
        <w:tc>
          <w:tcPr>
            <w:tcW w:type="dxa" w:w="1296"/>
            <w:vAlign w:val="center"/>
          </w:tcPr>
          <w:p>
            <w:pPr>
              <w:spacing w:before="24" w:after="20"/>
              <w:jc w:val="center"/>
            </w:pPr>
            <w:r>
              <w:rPr>
                <w:rFonts w:ascii="Times New Roman" w:hAnsi="Times New Roman"/>
                <w:sz w:val="14"/>
              </w:rPr>
              <w:t>ECDSA Signing &amp; Transaction Broadcasting</w:t>
            </w:r>
          </w:p>
        </w:tc>
      </w:tr>
      <w:tr>
        <w:tc>
          <w:tcPr>
            <w:tcW w:type="dxa" w:w="1152"/>
            <w:vAlign w:val="center"/>
          </w:tcPr>
          <w:p>
            <w:pPr>
              <w:spacing w:before="24" w:after="20"/>
              <w:jc w:val="left"/>
            </w:pPr>
            <w:r>
              <w:rPr>
                <w:rFonts w:ascii="Times New Roman" w:hAnsi="Times New Roman"/>
                <w:sz w:val="14"/>
              </w:rPr>
              <w:t>Backend Core</w:t>
            </w:r>
          </w:p>
        </w:tc>
        <w:tc>
          <w:tcPr>
            <w:tcW w:type="dxa" w:w="1368"/>
            <w:vAlign w:val="center"/>
          </w:tcPr>
          <w:p>
            <w:pPr>
              <w:spacing w:before="24" w:after="20"/>
              <w:jc w:val="center"/>
            </w:pPr>
            <w:r>
              <w:rPr>
                <w:rFonts w:ascii="Times New Roman" w:hAnsi="Times New Roman"/>
                <w:sz w:val="14"/>
              </w:rPr>
              <w:t>FastAPI / Uvicorn</w:t>
            </w:r>
          </w:p>
        </w:tc>
        <w:tc>
          <w:tcPr>
            <w:tcW w:type="dxa" w:w="1080"/>
            <w:vAlign w:val="center"/>
          </w:tcPr>
          <w:p>
            <w:pPr>
              <w:spacing w:before="24" w:after="20"/>
              <w:jc w:val="center"/>
            </w:pPr>
            <w:r>
              <w:rPr>
                <w:rFonts w:ascii="Times New Roman" w:hAnsi="Times New Roman"/>
                <w:sz w:val="14"/>
              </w:rPr>
              <w:t>0.110+ / Python 3.10+</w:t>
            </w:r>
          </w:p>
        </w:tc>
        <w:tc>
          <w:tcPr>
            <w:tcW w:type="dxa" w:w="1296"/>
            <w:vAlign w:val="center"/>
          </w:tcPr>
          <w:p>
            <w:pPr>
              <w:spacing w:before="24" w:after="20"/>
              <w:jc w:val="center"/>
            </w:pPr>
            <w:r>
              <w:rPr>
                <w:rFonts w:ascii="Times New Roman" w:hAnsi="Times New Roman"/>
                <w:sz w:val="14"/>
              </w:rPr>
              <w:t>REST Gateway, Asynchronous Concurrency</w:t>
            </w:r>
          </w:p>
        </w:tc>
      </w:tr>
      <w:tr>
        <w:tc>
          <w:tcPr>
            <w:tcW w:type="dxa" w:w="1152"/>
            <w:vAlign w:val="center"/>
          </w:tcPr>
          <w:p>
            <w:pPr>
              <w:spacing w:before="24" w:after="20"/>
              <w:jc w:val="left"/>
            </w:pPr>
            <w:r>
              <w:rPr>
                <w:rFonts w:ascii="Times New Roman" w:hAnsi="Times New Roman"/>
                <w:sz w:val="14"/>
              </w:rPr>
              <w:t>Authentication</w:t>
            </w:r>
          </w:p>
        </w:tc>
        <w:tc>
          <w:tcPr>
            <w:tcW w:type="dxa" w:w="1368"/>
            <w:vAlign w:val="center"/>
          </w:tcPr>
          <w:p>
            <w:pPr>
              <w:spacing w:before="24" w:after="20"/>
              <w:jc w:val="center"/>
            </w:pPr>
            <w:r>
              <w:rPr>
                <w:rFonts w:ascii="Times New Roman" w:hAnsi="Times New Roman"/>
                <w:sz w:val="14"/>
              </w:rPr>
              <w:t>PyJWT &amp; Bcrypt</w:t>
            </w:r>
          </w:p>
        </w:tc>
        <w:tc>
          <w:tcPr>
            <w:tcW w:type="dxa" w:w="1080"/>
            <w:vAlign w:val="center"/>
          </w:tcPr>
          <w:p>
            <w:pPr>
              <w:spacing w:before="24" w:after="20"/>
              <w:jc w:val="center"/>
            </w:pPr>
            <w:r>
              <w:rPr>
                <w:rFonts w:ascii="Times New Roman" w:hAnsi="Times New Roman"/>
                <w:sz w:val="14"/>
              </w:rPr>
              <w:t>HS256 / RFC 7519</w:t>
            </w:r>
          </w:p>
        </w:tc>
        <w:tc>
          <w:tcPr>
            <w:tcW w:type="dxa" w:w="1296"/>
            <w:vAlign w:val="center"/>
          </w:tcPr>
          <w:p>
            <w:pPr>
              <w:spacing w:before="24" w:after="20"/>
              <w:jc w:val="center"/>
            </w:pPr>
            <w:r>
              <w:rPr>
                <w:rFonts w:ascii="Times New Roman" w:hAnsi="Times New Roman"/>
                <w:sz w:val="14"/>
              </w:rPr>
              <w:t>Stateless RBAC &amp; Secure Passwords</w:t>
            </w:r>
          </w:p>
        </w:tc>
      </w:tr>
      <w:tr>
        <w:tc>
          <w:tcPr>
            <w:tcW w:type="dxa" w:w="1152"/>
            <w:vAlign w:val="center"/>
          </w:tcPr>
          <w:p>
            <w:pPr>
              <w:spacing w:before="24" w:after="20"/>
              <w:jc w:val="left"/>
            </w:pPr>
            <w:r>
              <w:rPr>
                <w:rFonts w:ascii="Times New Roman" w:hAnsi="Times New Roman"/>
                <w:sz w:val="14"/>
              </w:rPr>
              <w:t>Real-Time Sync</w:t>
            </w:r>
          </w:p>
        </w:tc>
        <w:tc>
          <w:tcPr>
            <w:tcW w:type="dxa" w:w="1368"/>
            <w:vAlign w:val="center"/>
          </w:tcPr>
          <w:p>
            <w:pPr>
              <w:spacing w:before="24" w:after="20"/>
              <w:jc w:val="center"/>
            </w:pPr>
            <w:r>
              <w:rPr>
                <w:rFonts w:ascii="Times New Roman" w:hAnsi="Times New Roman"/>
                <w:sz w:val="14"/>
              </w:rPr>
              <w:t>Native WebSockets</w:t>
            </w:r>
          </w:p>
        </w:tc>
        <w:tc>
          <w:tcPr>
            <w:tcW w:type="dxa" w:w="1080"/>
            <w:vAlign w:val="center"/>
          </w:tcPr>
          <w:p>
            <w:pPr>
              <w:spacing w:before="24" w:after="20"/>
              <w:jc w:val="center"/>
            </w:pPr>
            <w:r>
              <w:rPr>
                <w:rFonts w:ascii="Times New Roman" w:hAnsi="Times New Roman"/>
                <w:sz w:val="14"/>
              </w:rPr>
              <w:t>RFC 6455 (/ws)</w:t>
            </w:r>
          </w:p>
        </w:tc>
        <w:tc>
          <w:tcPr>
            <w:tcW w:type="dxa" w:w="1296"/>
            <w:vAlign w:val="center"/>
          </w:tcPr>
          <w:p>
            <w:pPr>
              <w:spacing w:before="24" w:after="20"/>
              <w:jc w:val="center"/>
            </w:pPr>
            <w:r>
              <w:rPr>
                <w:rFonts w:ascii="Times New Roman" w:hAnsi="Times New Roman"/>
                <w:sz w:val="14"/>
              </w:rPr>
              <w:t>Multi-Client Push Event Broadcasting</w:t>
            </w:r>
          </w:p>
        </w:tc>
      </w:tr>
      <w:tr>
        <w:tc>
          <w:tcPr>
            <w:tcW w:type="dxa" w:w="1152"/>
            <w:vAlign w:val="center"/>
          </w:tcPr>
          <w:p>
            <w:pPr>
              <w:spacing w:before="24" w:after="20"/>
              <w:jc w:val="left"/>
            </w:pPr>
            <w:r>
              <w:rPr>
                <w:rFonts w:ascii="Times New Roman" w:hAnsi="Times New Roman"/>
                <w:sz w:val="14"/>
              </w:rPr>
              <w:t>Off-Chain DB</w:t>
            </w:r>
          </w:p>
        </w:tc>
        <w:tc>
          <w:tcPr>
            <w:tcW w:type="dxa" w:w="1368"/>
            <w:vAlign w:val="center"/>
          </w:tcPr>
          <w:p>
            <w:pPr>
              <w:spacing w:before="24" w:after="20"/>
              <w:jc w:val="center"/>
            </w:pPr>
            <w:r>
              <w:rPr>
                <w:rFonts w:ascii="Times New Roman" w:hAnsi="Times New Roman"/>
                <w:sz w:val="14"/>
              </w:rPr>
              <w:t>MongoDB / PyMongo</w:t>
            </w:r>
          </w:p>
        </w:tc>
        <w:tc>
          <w:tcPr>
            <w:tcW w:type="dxa" w:w="1080"/>
            <w:vAlign w:val="center"/>
          </w:tcPr>
          <w:p>
            <w:pPr>
              <w:spacing w:before="24" w:after="20"/>
              <w:jc w:val="center"/>
            </w:pPr>
            <w:r>
              <w:rPr>
                <w:rFonts w:ascii="Times New Roman" w:hAnsi="Times New Roman"/>
                <w:sz w:val="14"/>
              </w:rPr>
              <w:t>6.0+ / Atlas Cloud</w:t>
            </w:r>
          </w:p>
        </w:tc>
        <w:tc>
          <w:tcPr>
            <w:tcW w:type="dxa" w:w="1296"/>
            <w:vAlign w:val="center"/>
          </w:tcPr>
          <w:p>
            <w:pPr>
              <w:spacing w:before="24" w:after="20"/>
              <w:jc w:val="center"/>
            </w:pPr>
            <w:r>
              <w:rPr>
                <w:rFonts w:ascii="Times New Roman" w:hAnsi="Times New Roman"/>
                <w:sz w:val="14"/>
              </w:rPr>
              <w:t>18 Collections, 45+ Compound Indexes</w:t>
            </w:r>
          </w:p>
        </w:tc>
      </w:tr>
      <w:tr>
        <w:tc>
          <w:tcPr>
            <w:tcW w:type="dxa" w:w="1152"/>
            <w:vAlign w:val="center"/>
          </w:tcPr>
          <w:p>
            <w:pPr>
              <w:spacing w:before="24" w:after="20"/>
              <w:jc w:val="left"/>
            </w:pPr>
            <w:r>
              <w:rPr>
                <w:rFonts w:ascii="Times New Roman" w:hAnsi="Times New Roman"/>
                <w:sz w:val="14"/>
              </w:rPr>
              <w:t>Frontend UI</w:t>
            </w:r>
          </w:p>
        </w:tc>
        <w:tc>
          <w:tcPr>
            <w:tcW w:type="dxa" w:w="1368"/>
            <w:vAlign w:val="center"/>
          </w:tcPr>
          <w:p>
            <w:pPr>
              <w:spacing w:before="24" w:after="20"/>
              <w:jc w:val="center"/>
            </w:pPr>
            <w:r>
              <w:rPr>
                <w:rFonts w:ascii="Times New Roman" w:hAnsi="Times New Roman"/>
                <w:sz w:val="14"/>
              </w:rPr>
              <w:t>React 18 &amp; Vite 6</w:t>
            </w:r>
          </w:p>
        </w:tc>
        <w:tc>
          <w:tcPr>
            <w:tcW w:type="dxa" w:w="1080"/>
            <w:vAlign w:val="center"/>
          </w:tcPr>
          <w:p>
            <w:pPr>
              <w:spacing w:before="24" w:after="20"/>
              <w:jc w:val="center"/>
            </w:pPr>
            <w:r>
              <w:rPr>
                <w:rFonts w:ascii="Times New Roman" w:hAnsi="Times New Roman"/>
                <w:sz w:val="14"/>
              </w:rPr>
              <w:t>React 18.3 / Vite 6.0</w:t>
            </w:r>
          </w:p>
        </w:tc>
        <w:tc>
          <w:tcPr>
            <w:tcW w:type="dxa" w:w="1296"/>
            <w:vAlign w:val="center"/>
          </w:tcPr>
          <w:p>
            <w:pPr>
              <w:spacing w:before="24" w:after="20"/>
              <w:jc w:val="center"/>
            </w:pPr>
            <w:r>
              <w:rPr>
                <w:rFonts w:ascii="Times New Roman" w:hAnsi="Times New Roman"/>
                <w:sz w:val="14"/>
              </w:rPr>
              <w:t>Glassmorphism Multi-Portal Web Portals</w:t>
            </w:r>
          </w:p>
        </w:tc>
      </w:tr>
      <w:tr>
        <w:tc>
          <w:tcPr>
            <w:tcW w:type="dxa" w:w="1152"/>
            <w:vAlign w:val="center"/>
          </w:tcPr>
          <w:p>
            <w:pPr>
              <w:spacing w:before="24" w:after="20"/>
              <w:jc w:val="left"/>
            </w:pPr>
            <w:r>
              <w:rPr>
                <w:rFonts w:ascii="Times New Roman" w:hAnsi="Times New Roman"/>
                <w:sz w:val="14"/>
              </w:rPr>
              <w:t>Media / QR</w:t>
            </w:r>
          </w:p>
        </w:tc>
        <w:tc>
          <w:tcPr>
            <w:tcW w:type="dxa" w:w="1368"/>
            <w:vAlign w:val="center"/>
          </w:tcPr>
          <w:p>
            <w:pPr>
              <w:spacing w:before="24" w:after="20"/>
              <w:jc w:val="center"/>
            </w:pPr>
            <w:r>
              <w:rPr>
                <w:rFonts w:ascii="Times New Roman" w:hAnsi="Times New Roman"/>
                <w:sz w:val="14"/>
              </w:rPr>
              <w:t>QRCode[pil] &amp; Pillow</w:t>
            </w:r>
          </w:p>
        </w:tc>
        <w:tc>
          <w:tcPr>
            <w:tcW w:type="dxa" w:w="1080"/>
            <w:vAlign w:val="center"/>
          </w:tcPr>
          <w:p>
            <w:pPr>
              <w:spacing w:before="24" w:after="20"/>
              <w:jc w:val="center"/>
            </w:pPr>
            <w:r>
              <w:rPr>
                <w:rFonts w:ascii="Times New Roman" w:hAnsi="Times New Roman"/>
                <w:sz w:val="14"/>
              </w:rPr>
              <w:t>10.0+ / PNG DataURI</w:t>
            </w:r>
          </w:p>
        </w:tc>
        <w:tc>
          <w:tcPr>
            <w:tcW w:type="dxa" w:w="1296"/>
            <w:vAlign w:val="center"/>
          </w:tcPr>
          <w:p>
            <w:pPr>
              <w:spacing w:before="24" w:after="20"/>
              <w:jc w:val="center"/>
            </w:pPr>
            <w:r>
              <w:rPr>
                <w:rFonts w:ascii="Times New Roman" w:hAnsi="Times New Roman"/>
                <w:sz w:val="14"/>
              </w:rPr>
              <w:t>Signboard QR Generation &amp; Hashing</w:t>
            </w:r>
          </w:p>
        </w:tc>
      </w:tr>
    </w:tbl>
    <w:p>
      <w:pPr>
        <w:keepNext/>
        <w:spacing w:before="50" w:after="20"/>
        <w:jc w:val="left"/>
      </w:pPr>
      <w:r>
        <w:rPr>
          <w:rFonts w:ascii="Times New Roman" w:hAnsi="Times New Roman"/>
          <w:b/>
          <w:sz w:val="20"/>
        </w:rPr>
        <w:t>VI. Implementation Details:</w:t>
      </w:r>
    </w:p>
    <w:p>
      <w:pPr>
        <w:spacing w:before="0" w:after="0" w:line="242" w:lineRule="auto"/>
        <w:ind w:firstLine="259"/>
        <w:jc w:val="both"/>
      </w:pPr>
      <w:r>
        <w:rPr>
          <w:rFonts w:ascii="Times New Roman" w:hAnsi="Times New Roman"/>
          <w:sz w:val="19"/>
        </w:rPr>
        <w:t>The implementation of the platform spans 736 lines of verified Solidity smart contract code, an asynchronous FastAPI backend gateway across 11 route modules, and a modular React 18 multi-portal frontend.</w:t>
      </w:r>
    </w:p>
    <w:p>
      <w:pPr>
        <w:keepNext/>
        <w:spacing w:before="40" w:after="10"/>
        <w:jc w:val="left"/>
      </w:pPr>
      <w:r>
        <w:rPr>
          <w:rFonts w:ascii="Times New Roman" w:hAnsi="Times New Roman"/>
          <w:b/>
          <w:sz w:val="19"/>
        </w:rPr>
        <w:t>6.1 Smart Contract Engineering and Data Structures</w:t>
      </w:r>
    </w:p>
    <w:p>
      <w:pPr>
        <w:spacing w:before="0" w:after="0" w:line="242" w:lineRule="auto"/>
        <w:ind w:firstLine="259"/>
        <w:jc w:val="both"/>
      </w:pPr>
      <w:r>
        <w:rPr>
          <w:rFonts w:ascii="Times New Roman" w:hAnsi="Times New Roman"/>
          <w:sz w:val="19"/>
        </w:rPr>
        <w:t>The smart contract GovernmentFundTracking.sol is compiled under Solidity 0.8.24 with the optimizer enabled. It encapsulates core mapping structures for budgetAllocations, stateTransfers, districtAllocations, projectEscrows, projectMilestones, documentHashRecords, and auditReports. Role-Based Access Control is enforced through keccak256 role identifiers:</w:t>
      </w:r>
    </w:p>
    <w:p>
      <w:pPr>
        <w:spacing w:before="0" w:after="0" w:line="242" w:lineRule="auto"/>
        <w:ind w:firstLine="288"/>
        <w:jc w:val="both"/>
      </w:pPr>
      <w:r>
        <w:rPr>
          <w:rFonts w:ascii="Times New Roman" w:hAnsi="Times New Roman"/>
          <w:sz w:val="19"/>
        </w:rPr>
        <w:t>bytes32 public constant SUPER_ADMIN_ROLE = keccak256("SUPER_ADMIN_ROLE");</w:t>
        <w:br/>
        <w:t>bytes32 public constant FINANCE_ROLE = keccak256("FINANCE_ROLE");</w:t>
        <w:br/>
        <w:t>bytes32 public constant STATE_ROLE = keccak256("STATE_ROLE");</w:t>
        <w:br/>
        <w:t>bytes32 public constant DISTRICT_ROLE = keccak256("DISTRICT_ROLE");</w:t>
        <w:br/>
        <w:t>bytes32 public constant CONTRACTOR_ROLE = keccak256("CONTRACTOR_ROLE");</w:t>
        <w:br/>
        <w:t>bytes32 public constant AUDITOR_ROLE = keccak256("AUDITOR_ROLE");</w:t>
      </w:r>
    </w:p>
    <w:p>
      <w:pPr>
        <w:spacing w:before="0" w:after="0" w:line="242" w:lineRule="auto"/>
        <w:ind w:firstLine="259"/>
        <w:jc w:val="both"/>
      </w:pPr>
      <w:r>
        <w:rPr>
          <w:rFonts w:ascii="Times New Roman" w:hAnsi="Times New Roman"/>
          <w:sz w:val="19"/>
        </w:rPr>
        <w:t>Critical administrative functions enforce modifier guards (e.g. onlySuperAdmin, onlyFinance, onlyDistrict). Functions such as transferToStateWithReceiver() and allocateToDistrictWithReceiver() ensure that funds can be disbursed only if cumulative allocations do not breach parent sanctioned balances, terminating execution with atomic EVM reverts upon invariant violations.</w:t>
      </w:r>
    </w:p>
    <w:p>
      <w:pPr>
        <w:keepNext/>
        <w:spacing w:before="40" w:after="10"/>
        <w:jc w:val="left"/>
      </w:pPr>
      <w:r>
        <w:rPr>
          <w:rFonts w:ascii="Times New Roman" w:hAnsi="Times New Roman"/>
          <w:b/>
          <w:sz w:val="19"/>
        </w:rPr>
        <w:t>6.2 Emergency Circuit Breaker (Project Freeze)</w:t>
      </w:r>
    </w:p>
    <w:p>
      <w:pPr>
        <w:spacing w:before="0" w:after="0" w:line="242" w:lineRule="auto"/>
        <w:ind w:firstLine="259"/>
        <w:jc w:val="both"/>
      </w:pPr>
      <w:r>
        <w:rPr>
          <w:rFonts w:ascii="Times New Roman" w:hAnsi="Times New Roman"/>
          <w:sz w:val="19"/>
        </w:rPr>
        <w:t>To mitigate contractor non-performance, suspected fraud, or civic grievances, the contract implements an emergency circuit breaker. Authorized roles (Super Admin, Finance, District, or Auditor) can invoke freezeProject(projectId, reason), setting escrow.isFrozen = true and emitting ProjectEscrowFrozen. While frozen, all milestone progress submissions, evidence anchoring, and escrow payment releases are halted immediately at the EVM opcode level. Unfreezing is restricted exclusively to Super Admin and Finance authorities via unfreezeProject().</w:t>
      </w:r>
    </w:p>
    <w:p>
      <w:pPr>
        <w:keepNext/>
        <w:spacing w:before="40" w:after="10"/>
        <w:jc w:val="left"/>
      </w:pPr>
      <w:r>
        <w:rPr>
          <w:rFonts w:ascii="Times New Roman" w:hAnsi="Times New Roman"/>
          <w:b/>
          <w:sz w:val="19"/>
        </w:rPr>
        <w:t>6.3 Off-Chain Database Design and Indexing</w:t>
      </w:r>
    </w:p>
    <w:p>
      <w:pPr>
        <w:spacing w:before="0" w:after="0" w:line="242" w:lineRule="auto"/>
        <w:ind w:firstLine="259"/>
        <w:jc w:val="both"/>
      </w:pPr>
      <w:r>
        <w:rPr>
          <w:rFonts w:ascii="Times New Roman" w:hAnsi="Times New Roman"/>
          <w:sz w:val="19"/>
        </w:rPr>
        <w:t>The MongoDB database layer (FUNDSYSTEM) is structured into 18 collections with 45+ compound and unique indexes to guarantee sub-millisecond query performance and prevent document-level race conditions. Table 3 summarizes the functional grouping of principal collections.</w:t>
      </w:r>
    </w:p>
    <w:p>
      <w:pPr>
        <w:keepNext/>
        <w:spacing w:before="60" w:after="40"/>
        <w:jc w:val="center"/>
      </w:pPr>
      <w:r>
        <w:rPr>
          <w:rFonts w:ascii="Times New Roman" w:hAnsi="Times New Roman"/>
          <w:b/>
          <w:sz w:val="17"/>
        </w:rPr>
        <w:t>Table 3. Principal MongoDB Collections by Functional Group</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592"/>
        <w:gridCol w:w="2592"/>
        <w:gridCol w:w="2592"/>
        <w:gridCol w:w="2592"/>
      </w:tblGrid>
      <w:tr>
        <w:tc>
          <w:tcPr>
            <w:tcW w:type="dxa" w:w="1152"/>
            <w:shd w:fill="F1F5F9"/>
            <w:vAlign w:val="center"/>
          </w:tcPr>
          <w:p>
            <w:pPr>
              <w:spacing w:before="30" w:after="30"/>
              <w:jc w:val="center"/>
            </w:pPr>
            <w:r>
              <w:rPr>
                <w:rFonts w:ascii="Times New Roman" w:hAnsi="Times New Roman"/>
                <w:b/>
                <w:sz w:val="15"/>
              </w:rPr>
              <w:t>Functional Group</w:t>
            </w:r>
          </w:p>
        </w:tc>
        <w:tc>
          <w:tcPr>
            <w:tcW w:type="dxa" w:w="1512"/>
            <w:shd w:fill="F1F5F9"/>
            <w:vAlign w:val="center"/>
          </w:tcPr>
          <w:p>
            <w:pPr>
              <w:spacing w:before="30" w:after="30"/>
              <w:jc w:val="center"/>
            </w:pPr>
            <w:r>
              <w:rPr>
                <w:rFonts w:ascii="Times New Roman" w:hAnsi="Times New Roman"/>
                <w:b/>
                <w:sz w:val="15"/>
              </w:rPr>
              <w:t>MongoDB Collections</w:t>
            </w:r>
          </w:p>
        </w:tc>
        <w:tc>
          <w:tcPr>
            <w:tcW w:type="dxa" w:w="1080"/>
            <w:shd w:fill="F1F5F9"/>
            <w:vAlign w:val="center"/>
          </w:tcPr>
          <w:p>
            <w:pPr>
              <w:spacing w:before="30" w:after="30"/>
              <w:jc w:val="center"/>
            </w:pPr>
            <w:r>
              <w:rPr>
                <w:rFonts w:ascii="Times New Roman" w:hAnsi="Times New Roman"/>
                <w:b/>
                <w:sz w:val="15"/>
              </w:rPr>
              <w:t>Key Index Fields</w:t>
            </w:r>
          </w:p>
        </w:tc>
        <w:tc>
          <w:tcPr>
            <w:tcW w:type="dxa" w:w="1152"/>
            <w:shd w:fill="F1F5F9"/>
            <w:vAlign w:val="center"/>
          </w:tcPr>
          <w:p>
            <w:pPr>
              <w:spacing w:before="30" w:after="30"/>
              <w:jc w:val="center"/>
            </w:pPr>
            <w:r>
              <w:rPr>
                <w:rFonts w:ascii="Times New Roman" w:hAnsi="Times New Roman"/>
                <w:b/>
                <w:sz w:val="15"/>
              </w:rPr>
              <w:t>Governance Purpose</w:t>
            </w:r>
          </w:p>
        </w:tc>
      </w:tr>
      <w:tr>
        <w:tc>
          <w:tcPr>
            <w:tcW w:type="dxa" w:w="1152"/>
            <w:vAlign w:val="center"/>
          </w:tcPr>
          <w:p>
            <w:pPr>
              <w:spacing w:before="24" w:after="20"/>
              <w:jc w:val="left"/>
            </w:pPr>
            <w:r>
              <w:rPr>
                <w:rFonts w:ascii="Times New Roman" w:hAnsi="Times New Roman"/>
                <w:sz w:val="14"/>
              </w:rPr>
              <w:t>Planning &amp; FY</w:t>
            </w:r>
          </w:p>
        </w:tc>
        <w:tc>
          <w:tcPr>
            <w:tcW w:type="dxa" w:w="1512"/>
            <w:vAlign w:val="center"/>
          </w:tcPr>
          <w:p>
            <w:pPr>
              <w:spacing w:before="24" w:after="20"/>
              <w:jc w:val="center"/>
            </w:pPr>
            <w:r>
              <w:rPr>
                <w:rFonts w:ascii="Times New Roman" w:hAnsi="Times New Roman"/>
                <w:sz w:val="14"/>
              </w:rPr>
              <w:t>financial_years, schemes, budget_allocations</w:t>
            </w:r>
          </w:p>
        </w:tc>
        <w:tc>
          <w:tcPr>
            <w:tcW w:type="dxa" w:w="1080"/>
            <w:vAlign w:val="center"/>
          </w:tcPr>
          <w:p>
            <w:pPr>
              <w:spacing w:before="24" w:after="20"/>
              <w:jc w:val="center"/>
            </w:pPr>
            <w:r>
              <w:rPr>
                <w:rFonts w:ascii="Times New Roman" w:hAnsi="Times New Roman"/>
                <w:sz w:val="14"/>
              </w:rPr>
              <w:t>year (UQ), code (UQ), allocation_id (UQ)</w:t>
            </w:r>
          </w:p>
        </w:tc>
        <w:tc>
          <w:tcPr>
            <w:tcW w:type="dxa" w:w="1152"/>
            <w:vAlign w:val="center"/>
          </w:tcPr>
          <w:p>
            <w:pPr>
              <w:spacing w:before="24" w:after="20"/>
              <w:jc w:val="center"/>
            </w:pPr>
            <w:r>
              <w:rPr>
                <w:rFonts w:ascii="Times New Roman" w:hAnsi="Times New Roman"/>
                <w:sz w:val="14"/>
              </w:rPr>
              <w:t>National budget envelopes and cycle controls</w:t>
            </w:r>
          </w:p>
        </w:tc>
      </w:tr>
      <w:tr>
        <w:tc>
          <w:tcPr>
            <w:tcW w:type="dxa" w:w="1152"/>
            <w:vAlign w:val="center"/>
          </w:tcPr>
          <w:p>
            <w:pPr>
              <w:spacing w:before="24" w:after="20"/>
              <w:jc w:val="left"/>
            </w:pPr>
            <w:r>
              <w:rPr>
                <w:rFonts w:ascii="Times New Roman" w:hAnsi="Times New Roman"/>
                <w:sz w:val="14"/>
              </w:rPr>
              <w:t>Devolution Tiers</w:t>
            </w:r>
          </w:p>
        </w:tc>
        <w:tc>
          <w:tcPr>
            <w:tcW w:type="dxa" w:w="1512"/>
            <w:vAlign w:val="center"/>
          </w:tcPr>
          <w:p>
            <w:pPr>
              <w:spacing w:before="24" w:after="20"/>
              <w:jc w:val="center"/>
            </w:pPr>
            <w:r>
              <w:rPr>
                <w:rFonts w:ascii="Times New Roman" w:hAnsi="Times New Roman"/>
                <w:sz w:val="14"/>
              </w:rPr>
              <w:t>state_transfers, district_allocations</w:t>
            </w:r>
          </w:p>
        </w:tc>
        <w:tc>
          <w:tcPr>
            <w:tcW w:type="dxa" w:w="1080"/>
            <w:vAlign w:val="center"/>
          </w:tcPr>
          <w:p>
            <w:pPr>
              <w:spacing w:before="24" w:after="20"/>
              <w:jc w:val="center"/>
            </w:pPr>
            <w:r>
              <w:rPr>
                <w:rFonts w:ascii="Times New Roman" w:hAnsi="Times New Roman"/>
                <w:sz w:val="14"/>
              </w:rPr>
              <w:t>transfer_id (UQ), district_alloc_id (UQ)</w:t>
            </w:r>
          </w:p>
        </w:tc>
        <w:tc>
          <w:tcPr>
            <w:tcW w:type="dxa" w:w="1152"/>
            <w:vAlign w:val="center"/>
          </w:tcPr>
          <w:p>
            <w:pPr>
              <w:spacing w:before="24" w:after="20"/>
              <w:jc w:val="center"/>
            </w:pPr>
            <w:r>
              <w:rPr>
                <w:rFonts w:ascii="Times New Roman" w:hAnsi="Times New Roman"/>
                <w:sz w:val="14"/>
              </w:rPr>
              <w:t>Multi-tier state and district fund quotas</w:t>
            </w:r>
          </w:p>
        </w:tc>
      </w:tr>
      <w:tr>
        <w:tc>
          <w:tcPr>
            <w:tcW w:type="dxa" w:w="1152"/>
            <w:vAlign w:val="center"/>
          </w:tcPr>
          <w:p>
            <w:pPr>
              <w:spacing w:before="24" w:after="20"/>
              <w:jc w:val="left"/>
            </w:pPr>
            <w:r>
              <w:rPr>
                <w:rFonts w:ascii="Times New Roman" w:hAnsi="Times New Roman"/>
                <w:sz w:val="14"/>
              </w:rPr>
              <w:t>Projects &amp; Escrow</w:t>
            </w:r>
          </w:p>
        </w:tc>
        <w:tc>
          <w:tcPr>
            <w:tcW w:type="dxa" w:w="1512"/>
            <w:vAlign w:val="center"/>
          </w:tcPr>
          <w:p>
            <w:pPr>
              <w:spacing w:before="24" w:after="20"/>
              <w:jc w:val="center"/>
            </w:pPr>
            <w:r>
              <w:rPr>
                <w:rFonts w:ascii="Times New Roman" w:hAnsi="Times New Roman"/>
                <w:sz w:val="14"/>
              </w:rPr>
              <w:t>projects, milestones, evidence, qr_codes</w:t>
            </w:r>
          </w:p>
        </w:tc>
        <w:tc>
          <w:tcPr>
            <w:tcW w:type="dxa" w:w="1080"/>
            <w:vAlign w:val="center"/>
          </w:tcPr>
          <w:p>
            <w:pPr>
              <w:spacing w:before="24" w:after="20"/>
              <w:jc w:val="center"/>
            </w:pPr>
            <w:r>
              <w:rPr>
                <w:rFonts w:ascii="Times New Roman" w:hAnsi="Times New Roman"/>
                <w:sz w:val="14"/>
              </w:rPr>
              <w:t>project_id (UQ), qr_id (UQ), sha256_hash</w:t>
            </w:r>
          </w:p>
        </w:tc>
        <w:tc>
          <w:tcPr>
            <w:tcW w:type="dxa" w:w="1152"/>
            <w:vAlign w:val="center"/>
          </w:tcPr>
          <w:p>
            <w:pPr>
              <w:spacing w:before="24" w:after="20"/>
              <w:jc w:val="center"/>
            </w:pPr>
            <w:r>
              <w:rPr>
                <w:rFonts w:ascii="Times New Roman" w:hAnsi="Times New Roman"/>
                <w:sz w:val="14"/>
              </w:rPr>
              <w:t>Project lifecycle, tranches, and proofs</w:t>
            </w:r>
          </w:p>
        </w:tc>
      </w:tr>
      <w:tr>
        <w:tc>
          <w:tcPr>
            <w:tcW w:type="dxa" w:w="1152"/>
            <w:vAlign w:val="center"/>
          </w:tcPr>
          <w:p>
            <w:pPr>
              <w:spacing w:before="24" w:after="20"/>
              <w:jc w:val="left"/>
            </w:pPr>
            <w:r>
              <w:rPr>
                <w:rFonts w:ascii="Times New Roman" w:hAnsi="Times New Roman"/>
                <w:sz w:val="14"/>
              </w:rPr>
              <w:t>Contractors</w:t>
            </w:r>
          </w:p>
        </w:tc>
        <w:tc>
          <w:tcPr>
            <w:tcW w:type="dxa" w:w="1512"/>
            <w:vAlign w:val="center"/>
          </w:tcPr>
          <w:p>
            <w:pPr>
              <w:spacing w:before="24" w:after="20"/>
              <w:jc w:val="center"/>
            </w:pPr>
            <w:r>
              <w:rPr>
                <w:rFonts w:ascii="Times New Roman" w:hAnsi="Times New Roman"/>
                <w:sz w:val="14"/>
              </w:rPr>
              <w:t>contractor_kyc, bank_accounts</w:t>
            </w:r>
          </w:p>
        </w:tc>
        <w:tc>
          <w:tcPr>
            <w:tcW w:type="dxa" w:w="1080"/>
            <w:vAlign w:val="center"/>
          </w:tcPr>
          <w:p>
            <w:pPr>
              <w:spacing w:before="24" w:after="20"/>
              <w:jc w:val="center"/>
            </w:pPr>
            <w:r>
              <w:rPr>
                <w:rFonts w:ascii="Times New Roman" w:hAnsi="Times New Roman"/>
                <w:sz w:val="14"/>
              </w:rPr>
              <w:t>contractor_id, account_id (UQ), ifsc</w:t>
            </w:r>
          </w:p>
        </w:tc>
        <w:tc>
          <w:tcPr>
            <w:tcW w:type="dxa" w:w="1152"/>
            <w:vAlign w:val="center"/>
          </w:tcPr>
          <w:p>
            <w:pPr>
              <w:spacing w:before="24" w:after="20"/>
              <w:jc w:val="center"/>
            </w:pPr>
            <w:r>
              <w:rPr>
                <w:rFonts w:ascii="Times New Roman" w:hAnsi="Times New Roman"/>
                <w:sz w:val="14"/>
              </w:rPr>
              <w:t>Vendor KYC vetting and masked bank vaults</w:t>
            </w:r>
          </w:p>
        </w:tc>
      </w:tr>
      <w:tr>
        <w:tc>
          <w:tcPr>
            <w:tcW w:type="dxa" w:w="1152"/>
            <w:vAlign w:val="center"/>
          </w:tcPr>
          <w:p>
            <w:pPr>
              <w:spacing w:before="24" w:after="20"/>
              <w:jc w:val="left"/>
            </w:pPr>
            <w:r>
              <w:rPr>
                <w:rFonts w:ascii="Times New Roman" w:hAnsi="Times New Roman"/>
                <w:sz w:val="14"/>
              </w:rPr>
              <w:t>Ledger Mirror</w:t>
            </w:r>
          </w:p>
        </w:tc>
        <w:tc>
          <w:tcPr>
            <w:tcW w:type="dxa" w:w="1512"/>
            <w:vAlign w:val="center"/>
          </w:tcPr>
          <w:p>
            <w:pPr>
              <w:spacing w:before="24" w:after="20"/>
              <w:jc w:val="center"/>
            </w:pPr>
            <w:r>
              <w:rPr>
                <w:rFonts w:ascii="Times New Roman" w:hAnsi="Times New Roman"/>
                <w:sz w:val="14"/>
              </w:rPr>
              <w:t>blockchain_transactions, financial_trans</w:t>
            </w:r>
          </w:p>
        </w:tc>
        <w:tc>
          <w:tcPr>
            <w:tcW w:type="dxa" w:w="1080"/>
            <w:vAlign w:val="center"/>
          </w:tcPr>
          <w:p>
            <w:pPr>
              <w:spacing w:before="24" w:after="20"/>
              <w:jc w:val="center"/>
            </w:pPr>
            <w:r>
              <w:rPr>
                <w:rFonts w:ascii="Times New Roman" w:hAnsi="Times New Roman"/>
                <w:sz w:val="14"/>
              </w:rPr>
              <w:t>tx_hash (UQ), transaction_id (UQ)</w:t>
            </w:r>
          </w:p>
        </w:tc>
        <w:tc>
          <w:tcPr>
            <w:tcW w:type="dxa" w:w="1152"/>
            <w:vAlign w:val="center"/>
          </w:tcPr>
          <w:p>
            <w:pPr>
              <w:spacing w:before="24" w:after="20"/>
              <w:jc w:val="center"/>
            </w:pPr>
            <w:r>
              <w:rPr>
                <w:rFonts w:ascii="Times New Roman" w:hAnsi="Times New Roman"/>
                <w:sz w:val="14"/>
              </w:rPr>
              <w:t>On-chain transaction receipts and cashbooks</w:t>
            </w:r>
          </w:p>
        </w:tc>
      </w:tr>
      <w:tr>
        <w:tc>
          <w:tcPr>
            <w:tcW w:type="dxa" w:w="1152"/>
            <w:vAlign w:val="center"/>
          </w:tcPr>
          <w:p>
            <w:pPr>
              <w:spacing w:before="24" w:after="20"/>
              <w:jc w:val="left"/>
            </w:pPr>
            <w:r>
              <w:rPr>
                <w:rFonts w:ascii="Times New Roman" w:hAnsi="Times New Roman"/>
                <w:sz w:val="14"/>
              </w:rPr>
              <w:t>Oversight</w:t>
            </w:r>
          </w:p>
        </w:tc>
        <w:tc>
          <w:tcPr>
            <w:tcW w:type="dxa" w:w="1512"/>
            <w:vAlign w:val="center"/>
          </w:tcPr>
          <w:p>
            <w:pPr>
              <w:spacing w:before="24" w:after="20"/>
              <w:jc w:val="center"/>
            </w:pPr>
            <w:r>
              <w:rPr>
                <w:rFonts w:ascii="Times New Roman" w:hAnsi="Times New Roman"/>
                <w:sz w:val="14"/>
              </w:rPr>
              <w:t>audit_logs, complaints, fraud_reports</w:t>
            </w:r>
          </w:p>
        </w:tc>
        <w:tc>
          <w:tcPr>
            <w:tcW w:type="dxa" w:w="1080"/>
            <w:vAlign w:val="center"/>
          </w:tcPr>
          <w:p>
            <w:pPr>
              <w:spacing w:before="24" w:after="20"/>
              <w:jc w:val="center"/>
            </w:pPr>
            <w:r>
              <w:rPr>
                <w:rFonts w:ascii="Times New Roman" w:hAnsi="Times New Roman"/>
                <w:sz w:val="14"/>
              </w:rPr>
              <w:t>audit_id (UQ), reference_id (UQ)</w:t>
            </w:r>
          </w:p>
        </w:tc>
        <w:tc>
          <w:tcPr>
            <w:tcW w:type="dxa" w:w="1152"/>
            <w:vAlign w:val="center"/>
          </w:tcPr>
          <w:p>
            <w:pPr>
              <w:spacing w:before="24" w:after="20"/>
              <w:jc w:val="center"/>
            </w:pPr>
            <w:r>
              <w:rPr>
                <w:rFonts w:ascii="Times New Roman" w:hAnsi="Times New Roman"/>
                <w:sz w:val="14"/>
              </w:rPr>
              <w:t>Forensic audit trails and civic grievances</w:t>
            </w:r>
          </w:p>
        </w:tc>
      </w:tr>
    </w:tbl>
    <w:p>
      <w:pPr>
        <w:keepNext/>
        <w:spacing w:before="40" w:after="10"/>
        <w:jc w:val="left"/>
      </w:pPr>
      <w:r>
        <w:rPr>
          <w:rFonts w:ascii="Times New Roman" w:hAnsi="Times New Roman"/>
          <w:b/>
          <w:sz w:val="19"/>
        </w:rPr>
        <w:t>6.4 User Interface Portals and System Execution Workflows</w:t>
      </w:r>
    </w:p>
    <w:p>
      <w:pPr>
        <w:spacing w:before="0" w:after="0" w:line="242" w:lineRule="auto"/>
        <w:ind w:firstLine="259"/>
        <w:jc w:val="both"/>
      </w:pPr>
      <w:r>
        <w:rPr>
          <w:rFonts w:ascii="Times New Roman" w:hAnsi="Times New Roman"/>
          <w:sz w:val="19"/>
        </w:rPr>
        <w:t>The user interface incorporates Cyberpunk-GovTech aesthetic principles utilizing CSS glassmorphism, responsive grid layouts, and color-coded status badges. Dedicated portals isolate administrative command, financial disbursal, state-district devolution, and unauthenticated public inspection. Figure 1 illustrates the overarching system block diagram, while Figures 2 through 6 depict primary operational interfaces and real-time execution flows across the system hierarchy.</w:t>
      </w:r>
    </w:p>
    <w:p>
      <w:pPr>
        <w:keepNext/>
        <w:spacing w:before="50" w:after="20"/>
        <w:jc w:val="center"/>
      </w:pPr>
      <w:r>
        <w:drawing>
          <wp:inline xmlns:a="http://schemas.openxmlformats.org/drawingml/2006/main" xmlns:pic="http://schemas.openxmlformats.org/drawingml/2006/picture">
            <wp:extent cx="2606040" cy="2085340"/>
            <wp:docPr id="2" name="Picture 2"/>
            <wp:cNvGraphicFramePr>
              <a:graphicFrameLocks noChangeAspect="1"/>
            </wp:cNvGraphicFramePr>
            <a:graphic>
              <a:graphicData uri="http://schemas.openxmlformats.org/drawingml/2006/picture">
                <pic:pic>
                  <pic:nvPicPr>
                    <pic:cNvPr id="0" name="fig1_admin_dashboard.png"/>
                    <pic:cNvPicPr/>
                  </pic:nvPicPr>
                  <pic:blipFill>
                    <a:blip r:embed="rId14"/>
                    <a:stretch>
                      <a:fillRect/>
                    </a:stretch>
                  </pic:blipFill>
                  <pic:spPr>
                    <a:xfrm>
                      <a:off x="0" y="0"/>
                      <a:ext cx="2606040" cy="2085340"/>
                    </a:xfrm>
                    <a:prstGeom prst="rect"/>
                  </pic:spPr>
                </pic:pic>
              </a:graphicData>
            </a:graphic>
          </wp:inline>
        </w:drawing>
      </w:r>
    </w:p>
    <w:p>
      <w:pPr>
        <w:keepNext/>
        <w:spacing w:before="20" w:after="30"/>
        <w:jc w:val="center"/>
      </w:pPr>
      <w:r>
        <w:rPr>
          <w:rFonts w:ascii="Times New Roman" w:hAnsi="Times New Roman"/>
          <w:b/>
          <w:sz w:val="17"/>
        </w:rPr>
        <w:t>Fig 2_Administrator Dashboard</w:t>
      </w:r>
    </w:p>
    <w:p>
      <w:pPr>
        <w:spacing w:before="0" w:after="0" w:line="242" w:lineRule="auto"/>
        <w:ind w:firstLine="259"/>
        <w:jc w:val="both"/>
      </w:pPr>
      <w:r>
        <w:rPr>
          <w:rFonts w:ascii="Times New Roman" w:hAnsi="Times New Roman"/>
          <w:sz w:val="19"/>
        </w:rPr>
        <w:t>Fig 2 illustrates the Administrator Dashboard, which functions as the central supervisory interface of the platform. The dashboard enables central authorities to monitor aggregate budget allocations, active national schemes, and civic infrastructure projects across participating ministries. By consolidating macro-level fiscal telemetry, this interface ensures that sovereign funds remain aligned with sanctioned legislative limits.</w:t>
      </w:r>
    </w:p>
    <w:p>
      <w:pPr>
        <w:keepNext/>
        <w:spacing w:before="50" w:after="20"/>
        <w:jc w:val="center"/>
      </w:pPr>
      <w:r>
        <w:drawing>
          <wp:inline xmlns:a="http://schemas.openxmlformats.org/drawingml/2006/main" xmlns:pic="http://schemas.openxmlformats.org/drawingml/2006/picture">
            <wp:extent cx="2606040" cy="1877060"/>
            <wp:docPr id="3" name="Picture 3"/>
            <wp:cNvGraphicFramePr>
              <a:graphicFrameLocks noChangeAspect="1"/>
            </wp:cNvGraphicFramePr>
            <a:graphic>
              <a:graphicData uri="http://schemas.openxmlformats.org/drawingml/2006/picture">
                <pic:pic>
                  <pic:nvPicPr>
                    <pic:cNvPr id="0" name="fig2_finance_dashboard.png"/>
                    <pic:cNvPicPr/>
                  </pic:nvPicPr>
                  <pic:blipFill>
                    <a:blip r:embed="rId15"/>
                    <a:stretch>
                      <a:fillRect/>
                    </a:stretch>
                  </pic:blipFill>
                  <pic:spPr>
                    <a:xfrm>
                      <a:off x="0" y="0"/>
                      <a:ext cx="2606040" cy="1877060"/>
                    </a:xfrm>
                    <a:prstGeom prst="rect"/>
                  </pic:spPr>
                </pic:pic>
              </a:graphicData>
            </a:graphic>
          </wp:inline>
        </w:drawing>
      </w:r>
    </w:p>
    <w:p>
      <w:pPr>
        <w:keepNext/>
        <w:spacing w:before="20" w:after="30"/>
        <w:jc w:val="center"/>
      </w:pPr>
      <w:r>
        <w:rPr>
          <w:rFonts w:ascii="Times New Roman" w:hAnsi="Times New Roman"/>
          <w:b/>
          <w:sz w:val="17"/>
        </w:rPr>
        <w:t>Fig 3_Finance Dashboard</w:t>
      </w:r>
    </w:p>
    <w:p>
      <w:pPr>
        <w:spacing w:before="0" w:after="0" w:line="242" w:lineRule="auto"/>
        <w:ind w:firstLine="259"/>
        <w:jc w:val="both"/>
      </w:pPr>
      <w:r>
        <w:rPr>
          <w:rFonts w:ascii="Times New Roman" w:hAnsi="Times New Roman"/>
          <w:sz w:val="19"/>
        </w:rPr>
        <w:t>Fig 3 presents the Finance Dashboard utilized by ministry finance officers to oversee liquid treasury reserves. The interface displays approved central schemes, available disbursal balances, and pending fund requisitions submitted by state departments. This centralized visibility guarantees that cross-tier fund transfers satisfy sanctioned allocation ceilings prior to blockchain dispatch.</w:t>
      </w:r>
    </w:p>
    <w:p>
      <w:pPr>
        <w:keepNext/>
        <w:spacing w:before="50" w:after="20"/>
        <w:jc w:val="center"/>
      </w:pPr>
      <w:r>
        <w:drawing>
          <wp:inline xmlns:a="http://schemas.openxmlformats.org/drawingml/2006/main" xmlns:pic="http://schemas.openxmlformats.org/drawingml/2006/picture">
            <wp:extent cx="2606040" cy="1948180"/>
            <wp:docPr id="4" name="Picture 4"/>
            <wp:cNvGraphicFramePr>
              <a:graphicFrameLocks noChangeAspect="1"/>
            </wp:cNvGraphicFramePr>
            <a:graphic>
              <a:graphicData uri="http://schemas.openxmlformats.org/drawingml/2006/picture">
                <pic:pic>
                  <pic:nvPicPr>
                    <pic:cNvPr id="0" name="fig3_central_to_state_transfer.png"/>
                    <pic:cNvPicPr/>
                  </pic:nvPicPr>
                  <pic:blipFill>
                    <a:blip r:embed="rId16"/>
                    <a:stretch>
                      <a:fillRect/>
                    </a:stretch>
                  </pic:blipFill>
                  <pic:spPr>
                    <a:xfrm>
                      <a:off x="0" y="0"/>
                      <a:ext cx="2606040" cy="1948180"/>
                    </a:xfrm>
                    <a:prstGeom prst="rect"/>
                  </pic:spPr>
                </pic:pic>
              </a:graphicData>
            </a:graphic>
          </wp:inline>
        </w:drawing>
      </w:r>
    </w:p>
    <w:p>
      <w:pPr>
        <w:keepNext/>
        <w:spacing w:before="20" w:after="30"/>
        <w:jc w:val="center"/>
      </w:pPr>
      <w:r>
        <w:rPr>
          <w:rFonts w:ascii="Times New Roman" w:hAnsi="Times New Roman"/>
          <w:b/>
          <w:sz w:val="17"/>
        </w:rPr>
        <w:t>Fig 4_Central-to-State Fund Transfer Interface</w:t>
      </w:r>
    </w:p>
    <w:p>
      <w:pPr>
        <w:spacing w:before="0" w:after="0" w:line="242" w:lineRule="auto"/>
        <w:ind w:firstLine="259"/>
        <w:jc w:val="both"/>
      </w:pPr>
      <w:r>
        <w:rPr>
          <w:rFonts w:ascii="Times New Roman" w:hAnsi="Times New Roman"/>
          <w:sz w:val="19"/>
        </w:rPr>
        <w:t>Fig 4 depicts the cross-tier transfer interface executing capital devolution from the Central Finance Authority to a state treasury. The module binds sanctioned scheme funds to authorized state government accounts and dispatches the disbursement transaction to the Ethereum Sepolia smart contract. This mechanism enforces cryptographic devolution ceilings and establishes an immutable transaction record before funds enter provincial accounts.</w:t>
      </w:r>
    </w:p>
    <w:p>
      <w:pPr>
        <w:keepNext/>
        <w:spacing w:before="50" w:after="20"/>
        <w:jc w:val="center"/>
      </w:pPr>
      <w:r>
        <w:drawing>
          <wp:inline xmlns:a="http://schemas.openxmlformats.org/drawingml/2006/main" xmlns:pic="http://schemas.openxmlformats.org/drawingml/2006/picture">
            <wp:extent cx="2606040" cy="1783080"/>
            <wp:docPr id="5" name="Picture 5"/>
            <wp:cNvGraphicFramePr>
              <a:graphicFrameLocks noChangeAspect="1"/>
            </wp:cNvGraphicFramePr>
            <a:graphic>
              <a:graphicData uri="http://schemas.openxmlformats.org/drawingml/2006/picture">
                <pic:pic>
                  <pic:nvPicPr>
                    <pic:cNvPr id="0" name="fig4_state_to_district_transfer.png"/>
                    <pic:cNvPicPr/>
                  </pic:nvPicPr>
                  <pic:blipFill>
                    <a:blip r:embed="rId17"/>
                    <a:stretch>
                      <a:fillRect/>
                    </a:stretch>
                  </pic:blipFill>
                  <pic:spPr>
                    <a:xfrm>
                      <a:off x="0" y="0"/>
                      <a:ext cx="2606040" cy="1783080"/>
                    </a:xfrm>
                    <a:prstGeom prst="rect"/>
                  </pic:spPr>
                </pic:pic>
              </a:graphicData>
            </a:graphic>
          </wp:inline>
        </w:drawing>
      </w:r>
    </w:p>
    <w:p>
      <w:pPr>
        <w:keepNext/>
        <w:spacing w:before="20" w:after="30"/>
        <w:jc w:val="center"/>
      </w:pPr>
      <w:r>
        <w:rPr>
          <w:rFonts w:ascii="Times New Roman" w:hAnsi="Times New Roman"/>
          <w:b/>
          <w:sz w:val="17"/>
        </w:rPr>
        <w:t>Fig 5_State-to-District Fund Allocation Interface</w:t>
      </w:r>
    </w:p>
    <w:p>
      <w:pPr>
        <w:spacing w:before="0" w:after="0" w:line="242" w:lineRule="auto"/>
        <w:ind w:firstLine="259"/>
        <w:jc w:val="both"/>
      </w:pPr>
      <w:r>
        <w:rPr>
          <w:rFonts w:ascii="Times New Roman" w:hAnsi="Times New Roman"/>
          <w:sz w:val="19"/>
        </w:rPr>
        <w:t>Fig 5 shows the state-level fund allocation interface used by state finance officers to devolve received quotas to district implementing agencies. The platform validates requested amounts against remaining state scheme balances and links authenticated treasury accounts to district development agency funds. This workflow prevents over-allocation and maintains hierarchical budget invariants at the regional governance tier.</w:t>
      </w:r>
    </w:p>
    <w:p>
      <w:pPr>
        <w:keepNext/>
        <w:spacing w:before="50" w:after="20"/>
        <w:jc w:val="center"/>
      </w:pPr>
      <w:r>
        <w:drawing>
          <wp:inline xmlns:a="http://schemas.openxmlformats.org/drawingml/2006/main" xmlns:pic="http://schemas.openxmlformats.org/drawingml/2006/picture">
            <wp:extent cx="2606040" cy="1320800"/>
            <wp:docPr id="6" name="Picture 6"/>
            <wp:cNvGraphicFramePr>
              <a:graphicFrameLocks noChangeAspect="1"/>
            </wp:cNvGraphicFramePr>
            <a:graphic>
              <a:graphicData uri="http://schemas.openxmlformats.org/drawingml/2006/picture">
                <pic:pic>
                  <pic:nvPicPr>
                    <pic:cNvPr id="0" name="fig5_public_transparency_portal.png"/>
                    <pic:cNvPicPr/>
                  </pic:nvPicPr>
                  <pic:blipFill>
                    <a:blip r:embed="rId18"/>
                    <a:stretch>
                      <a:fillRect/>
                    </a:stretch>
                  </pic:blipFill>
                  <pic:spPr>
                    <a:xfrm>
                      <a:off x="0" y="0"/>
                      <a:ext cx="2606040" cy="1320800"/>
                    </a:xfrm>
                    <a:prstGeom prst="rect"/>
                  </pic:spPr>
                </pic:pic>
              </a:graphicData>
            </a:graphic>
          </wp:inline>
        </w:drawing>
      </w:r>
    </w:p>
    <w:p>
      <w:pPr>
        <w:keepNext/>
        <w:spacing w:before="20" w:after="30"/>
        <w:jc w:val="center"/>
      </w:pPr>
      <w:r>
        <w:rPr>
          <w:rFonts w:ascii="Times New Roman" w:hAnsi="Times New Roman"/>
          <w:b/>
          <w:sz w:val="17"/>
        </w:rPr>
        <w:t>Fig 6_Public Transparency Portal</w:t>
      </w:r>
    </w:p>
    <w:p>
      <w:pPr>
        <w:spacing w:before="0" w:after="0" w:line="242" w:lineRule="auto"/>
        <w:ind w:firstLine="259"/>
        <w:jc w:val="both"/>
      </w:pPr>
      <w:r>
        <w:rPr>
          <w:rFonts w:ascii="Times New Roman" w:hAnsi="Times New Roman"/>
          <w:sz w:val="19"/>
        </w:rPr>
        <w:t>Fig 6 displays the unauthenticated Public Transparency Portal deployed for independent citizen and civil society oversight. The interface provides open access to national budgetary summaries, project execution milestones, verified blockchain transaction records, and physical signboard QR codes. This transparency gateway eliminates information asymmetry by allowing the public to independently audit government fund flows without requiring authentication credentials.</w:t>
      </w:r>
    </w:p>
    <w:p>
      <w:pPr>
        <w:keepNext/>
        <w:spacing w:before="50" w:after="20"/>
        <w:jc w:val="left"/>
      </w:pPr>
      <w:r>
        <w:rPr>
          <w:rFonts w:ascii="Times New Roman" w:hAnsi="Times New Roman"/>
          <w:b/>
          <w:sz w:val="20"/>
        </w:rPr>
        <w:t>VII. Results and Discussions:</w:t>
      </w:r>
    </w:p>
    <w:p>
      <w:pPr>
        <w:spacing w:before="0" w:after="0" w:line="242" w:lineRule="auto"/>
        <w:ind w:firstLine="259"/>
        <w:jc w:val="both"/>
      </w:pPr>
      <w:r>
        <w:rPr>
          <w:rFonts w:ascii="Times New Roman" w:hAnsi="Times New Roman"/>
          <w:sz w:val="19"/>
        </w:rPr>
        <w:t>The platform was evaluated within a dedicated testbed environment configured as follows: Intel Core i7-13700H CPU @ 2.40 GHz, 16 GB DDR5 RAM, Windows 11 Enterprise OS, Python 3.11.9, Node.js v20.14.0, MongoDB v6.0.14 Local Server, and Ethereum Sepolia Public Testnet connected via HTTPS JSON-RPC endpoint.</w:t>
      </w:r>
    </w:p>
    <w:p>
      <w:pPr>
        <w:keepNext/>
        <w:spacing w:before="40" w:after="10"/>
        <w:jc w:val="left"/>
      </w:pPr>
      <w:r>
        <w:rPr>
          <w:rFonts w:ascii="Times New Roman" w:hAnsi="Times New Roman"/>
          <w:b/>
          <w:sz w:val="19"/>
        </w:rPr>
        <w:t>7.1 Automated Verification Results Summary</w:t>
      </w:r>
    </w:p>
    <w:p>
      <w:pPr>
        <w:spacing w:before="0" w:after="0" w:line="242" w:lineRule="auto"/>
        <w:ind w:firstLine="259"/>
        <w:jc w:val="both"/>
      </w:pPr>
      <w:r>
        <w:rPr>
          <w:rFonts w:ascii="Times New Roman" w:hAnsi="Times New Roman"/>
          <w:sz w:val="19"/>
        </w:rPr>
        <w:t>To verify system correctness, robustness, and security, the software implementation was subjected to comprehensive automated test harnesses across backend, smart contract, and frontend tiers. Table 4 presents the reported verification outcomes.</w:t>
      </w:r>
    </w:p>
    <w:p>
      <w:pPr>
        <w:keepNext/>
        <w:spacing w:before="60" w:after="40"/>
        <w:jc w:val="center"/>
      </w:pPr>
      <w:r>
        <w:rPr>
          <w:rFonts w:ascii="Times New Roman" w:hAnsi="Times New Roman"/>
          <w:b/>
          <w:sz w:val="17"/>
        </w:rPr>
        <w:t>Table 4. Reported Verification Results Summary</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074"/>
        <w:gridCol w:w="2074"/>
        <w:gridCol w:w="2074"/>
        <w:gridCol w:w="2074"/>
        <w:gridCol w:w="2074"/>
      </w:tblGrid>
      <w:tr>
        <w:tc>
          <w:tcPr>
            <w:tcW w:type="dxa" w:w="1656"/>
            <w:shd w:fill="F1F5F9"/>
            <w:vAlign w:val="center"/>
          </w:tcPr>
          <w:p>
            <w:pPr>
              <w:spacing w:before="30" w:after="30"/>
              <w:jc w:val="center"/>
            </w:pPr>
            <w:r>
              <w:rPr>
                <w:rFonts w:ascii="Times New Roman" w:hAnsi="Times New Roman"/>
                <w:b/>
                <w:sz w:val="15"/>
              </w:rPr>
              <w:t>Test Suite / Verification Target</w:t>
            </w:r>
          </w:p>
        </w:tc>
        <w:tc>
          <w:tcPr>
            <w:tcW w:type="dxa" w:w="936"/>
            <w:shd w:fill="F1F5F9"/>
            <w:vAlign w:val="center"/>
          </w:tcPr>
          <w:p>
            <w:pPr>
              <w:spacing w:before="30" w:after="30"/>
              <w:jc w:val="center"/>
            </w:pPr>
            <w:r>
              <w:rPr>
                <w:rFonts w:ascii="Times New Roman" w:hAnsi="Times New Roman"/>
                <w:b/>
                <w:sz w:val="15"/>
              </w:rPr>
              <w:t>Total Test Cases</w:t>
            </w:r>
          </w:p>
        </w:tc>
        <w:tc>
          <w:tcPr>
            <w:tcW w:type="dxa" w:w="792"/>
            <w:shd w:fill="F1F5F9"/>
            <w:vAlign w:val="center"/>
          </w:tcPr>
          <w:p>
            <w:pPr>
              <w:spacing w:before="30" w:after="30"/>
              <w:jc w:val="center"/>
            </w:pPr>
            <w:r>
              <w:rPr>
                <w:rFonts w:ascii="Times New Roman" w:hAnsi="Times New Roman"/>
                <w:b/>
                <w:sz w:val="15"/>
              </w:rPr>
              <w:t>Observed Outcome</w:t>
            </w:r>
          </w:p>
        </w:tc>
        <w:tc>
          <w:tcPr>
            <w:tcW w:type="dxa" w:w="792"/>
            <w:shd w:fill="F1F5F9"/>
            <w:vAlign w:val="center"/>
          </w:tcPr>
          <w:p>
            <w:pPr>
              <w:spacing w:before="30" w:after="30"/>
              <w:jc w:val="center"/>
            </w:pPr>
            <w:r>
              <w:rPr>
                <w:rFonts w:ascii="Times New Roman" w:hAnsi="Times New Roman"/>
                <w:b/>
                <w:sz w:val="15"/>
              </w:rPr>
              <w:t>Execution Duration</w:t>
            </w:r>
          </w:p>
        </w:tc>
        <w:tc>
          <w:tcPr>
            <w:tcW w:type="dxa" w:w="720"/>
            <w:shd w:fill="F1F5F9"/>
            <w:vAlign w:val="center"/>
          </w:tcPr>
          <w:p>
            <w:pPr>
              <w:spacing w:before="30" w:after="30"/>
              <w:jc w:val="center"/>
            </w:pPr>
            <w:r>
              <w:rPr>
                <w:rFonts w:ascii="Times New Roman" w:hAnsi="Times New Roman"/>
                <w:b/>
                <w:sz w:val="15"/>
              </w:rPr>
              <w:t>Status</w:t>
            </w:r>
          </w:p>
        </w:tc>
      </w:tr>
      <w:tr>
        <w:tc>
          <w:tcPr>
            <w:tcW w:type="dxa" w:w="1656"/>
            <w:vAlign w:val="center"/>
          </w:tcPr>
          <w:p>
            <w:pPr>
              <w:spacing w:before="24" w:after="20"/>
              <w:jc w:val="left"/>
            </w:pPr>
            <w:r>
              <w:rPr>
                <w:rFonts w:ascii="Times New Roman" w:hAnsi="Times New Roman"/>
                <w:sz w:val="14"/>
              </w:rPr>
              <w:t>Backend Pytest (23 Modules)</w:t>
            </w:r>
          </w:p>
        </w:tc>
        <w:tc>
          <w:tcPr>
            <w:tcW w:type="dxa" w:w="936"/>
            <w:vAlign w:val="center"/>
          </w:tcPr>
          <w:p>
            <w:pPr>
              <w:spacing w:before="24" w:after="20"/>
              <w:jc w:val="center"/>
            </w:pPr>
            <w:r>
              <w:rPr>
                <w:rFonts w:ascii="Times New Roman" w:hAnsi="Times New Roman"/>
                <w:sz w:val="14"/>
              </w:rPr>
              <w:t>204 Automated Tests</w:t>
            </w:r>
          </w:p>
        </w:tc>
        <w:tc>
          <w:tcPr>
            <w:tcW w:type="dxa" w:w="792"/>
            <w:vAlign w:val="center"/>
          </w:tcPr>
          <w:p>
            <w:pPr>
              <w:spacing w:before="24" w:after="20"/>
              <w:jc w:val="center"/>
            </w:pPr>
            <w:r>
              <w:rPr>
                <w:rFonts w:ascii="Times New Roman" w:hAnsi="Times New Roman"/>
                <w:sz w:val="14"/>
              </w:rPr>
              <w:t>204 Passed</w:t>
            </w:r>
          </w:p>
        </w:tc>
        <w:tc>
          <w:tcPr>
            <w:tcW w:type="dxa" w:w="792"/>
            <w:vAlign w:val="center"/>
          </w:tcPr>
          <w:p>
            <w:pPr>
              <w:spacing w:before="24" w:after="20"/>
              <w:jc w:val="center"/>
            </w:pPr>
            <w:r>
              <w:rPr>
                <w:rFonts w:ascii="Times New Roman" w:hAnsi="Times New Roman"/>
                <w:sz w:val="14"/>
              </w:rPr>
              <w:t>60.24 s</w:t>
            </w:r>
          </w:p>
        </w:tc>
        <w:tc>
          <w:tcPr>
            <w:tcW w:type="dxa" w:w="720"/>
            <w:vAlign w:val="center"/>
          </w:tcPr>
          <w:p>
            <w:pPr>
              <w:spacing w:before="24" w:after="20"/>
              <w:jc w:val="center"/>
            </w:pPr>
            <w:r>
              <w:rPr>
                <w:rFonts w:ascii="Times New Roman" w:hAnsi="Times New Roman"/>
                <w:sz w:val="14"/>
              </w:rPr>
              <w:t>PASSED</w:t>
            </w:r>
          </w:p>
        </w:tc>
      </w:tr>
      <w:tr>
        <w:tc>
          <w:tcPr>
            <w:tcW w:type="dxa" w:w="1656"/>
            <w:vAlign w:val="center"/>
          </w:tcPr>
          <w:p>
            <w:pPr>
              <w:spacing w:before="24" w:after="20"/>
              <w:jc w:val="left"/>
            </w:pPr>
            <w:r>
              <w:rPr>
                <w:rFonts w:ascii="Times New Roman" w:hAnsi="Times New Roman"/>
                <w:sz w:val="14"/>
              </w:rPr>
              <w:t>Smart Contract Hardhat / Chai</w:t>
            </w:r>
          </w:p>
        </w:tc>
        <w:tc>
          <w:tcPr>
            <w:tcW w:type="dxa" w:w="936"/>
            <w:vAlign w:val="center"/>
          </w:tcPr>
          <w:p>
            <w:pPr>
              <w:spacing w:before="24" w:after="20"/>
              <w:jc w:val="center"/>
            </w:pPr>
            <w:r>
              <w:rPr>
                <w:rFonts w:ascii="Times New Roman" w:hAnsi="Times New Roman"/>
                <w:sz w:val="14"/>
              </w:rPr>
              <w:t>31 Unit Tests</w:t>
            </w:r>
          </w:p>
        </w:tc>
        <w:tc>
          <w:tcPr>
            <w:tcW w:type="dxa" w:w="792"/>
            <w:vAlign w:val="center"/>
          </w:tcPr>
          <w:p>
            <w:pPr>
              <w:spacing w:before="24" w:after="20"/>
              <w:jc w:val="center"/>
            </w:pPr>
            <w:r>
              <w:rPr>
                <w:rFonts w:ascii="Times New Roman" w:hAnsi="Times New Roman"/>
                <w:sz w:val="14"/>
              </w:rPr>
              <w:t>31 Passed</w:t>
            </w:r>
          </w:p>
        </w:tc>
        <w:tc>
          <w:tcPr>
            <w:tcW w:type="dxa" w:w="792"/>
            <w:vAlign w:val="center"/>
          </w:tcPr>
          <w:p>
            <w:pPr>
              <w:spacing w:before="24" w:after="20"/>
              <w:jc w:val="center"/>
            </w:pPr>
            <w:r>
              <w:rPr>
                <w:rFonts w:ascii="Times New Roman" w:hAnsi="Times New Roman"/>
                <w:sz w:val="14"/>
              </w:rPr>
              <w:t>4.00 s</w:t>
            </w:r>
          </w:p>
        </w:tc>
        <w:tc>
          <w:tcPr>
            <w:tcW w:type="dxa" w:w="720"/>
            <w:vAlign w:val="center"/>
          </w:tcPr>
          <w:p>
            <w:pPr>
              <w:spacing w:before="24" w:after="20"/>
              <w:jc w:val="center"/>
            </w:pPr>
            <w:r>
              <w:rPr>
                <w:rFonts w:ascii="Times New Roman" w:hAnsi="Times New Roman"/>
                <w:sz w:val="14"/>
              </w:rPr>
              <w:t>PASSED</w:t>
            </w:r>
          </w:p>
        </w:tc>
      </w:tr>
      <w:tr>
        <w:tc>
          <w:tcPr>
            <w:tcW w:type="dxa" w:w="1656"/>
            <w:vAlign w:val="center"/>
          </w:tcPr>
          <w:p>
            <w:pPr>
              <w:spacing w:before="24" w:after="20"/>
              <w:jc w:val="left"/>
            </w:pPr>
            <w:r>
              <w:rPr>
                <w:rFonts w:ascii="Times New Roman" w:hAnsi="Times New Roman"/>
                <w:sz w:val="14"/>
              </w:rPr>
              <w:t>Frontend Vite Production Build</w:t>
            </w:r>
          </w:p>
        </w:tc>
        <w:tc>
          <w:tcPr>
            <w:tcW w:type="dxa" w:w="936"/>
            <w:vAlign w:val="center"/>
          </w:tcPr>
          <w:p>
            <w:pPr>
              <w:spacing w:before="24" w:after="20"/>
              <w:jc w:val="center"/>
            </w:pPr>
            <w:r>
              <w:rPr>
                <w:rFonts w:ascii="Times New Roman" w:hAnsi="Times New Roman"/>
                <w:sz w:val="14"/>
              </w:rPr>
              <w:t>1,705 Modules Transformed</w:t>
            </w:r>
          </w:p>
        </w:tc>
        <w:tc>
          <w:tcPr>
            <w:tcW w:type="dxa" w:w="792"/>
            <w:vAlign w:val="center"/>
          </w:tcPr>
          <w:p>
            <w:pPr>
              <w:spacing w:before="24" w:after="20"/>
              <w:jc w:val="center"/>
            </w:pPr>
            <w:r>
              <w:rPr>
                <w:rFonts w:ascii="Times New Roman" w:hAnsi="Times New Roman"/>
                <w:sz w:val="14"/>
              </w:rPr>
              <w:t>Zero Errors</w:t>
            </w:r>
          </w:p>
        </w:tc>
        <w:tc>
          <w:tcPr>
            <w:tcW w:type="dxa" w:w="792"/>
            <w:vAlign w:val="center"/>
          </w:tcPr>
          <w:p>
            <w:pPr>
              <w:spacing w:before="24" w:after="20"/>
              <w:jc w:val="center"/>
            </w:pPr>
            <w:r>
              <w:rPr>
                <w:rFonts w:ascii="Times New Roman" w:hAnsi="Times New Roman"/>
                <w:sz w:val="14"/>
              </w:rPr>
              <w:t>20.98 s</w:t>
            </w:r>
          </w:p>
        </w:tc>
        <w:tc>
          <w:tcPr>
            <w:tcW w:type="dxa" w:w="720"/>
            <w:vAlign w:val="center"/>
          </w:tcPr>
          <w:p>
            <w:pPr>
              <w:spacing w:before="24" w:after="20"/>
              <w:jc w:val="center"/>
            </w:pPr>
            <w:r>
              <w:rPr>
                <w:rFonts w:ascii="Times New Roman" w:hAnsi="Times New Roman"/>
                <w:sz w:val="14"/>
              </w:rPr>
              <w:t>PASSED</w:t>
            </w:r>
          </w:p>
        </w:tc>
      </w:tr>
      <w:tr>
        <w:tc>
          <w:tcPr>
            <w:tcW w:type="dxa" w:w="1656"/>
            <w:vAlign w:val="center"/>
          </w:tcPr>
          <w:p>
            <w:pPr>
              <w:spacing w:before="24" w:after="20"/>
              <w:jc w:val="left"/>
            </w:pPr>
            <w:r>
              <w:rPr>
                <w:rFonts w:ascii="Times New Roman" w:hAnsi="Times New Roman"/>
                <w:sz w:val="14"/>
              </w:rPr>
              <w:t>Sepolia Testnet Deployment</w:t>
            </w:r>
          </w:p>
        </w:tc>
        <w:tc>
          <w:tcPr>
            <w:tcW w:type="dxa" w:w="936"/>
            <w:vAlign w:val="center"/>
          </w:tcPr>
          <w:p>
            <w:pPr>
              <w:spacing w:before="24" w:after="20"/>
              <w:jc w:val="center"/>
            </w:pPr>
            <w:r>
              <w:rPr>
                <w:rFonts w:ascii="Times New Roman" w:hAnsi="Times New Roman"/>
                <w:sz w:val="14"/>
              </w:rPr>
              <w:t>1 Deployed Contract</w:t>
            </w:r>
          </w:p>
        </w:tc>
        <w:tc>
          <w:tcPr>
            <w:tcW w:type="dxa" w:w="792"/>
            <w:vAlign w:val="center"/>
          </w:tcPr>
          <w:p>
            <w:pPr>
              <w:spacing w:before="24" w:after="20"/>
              <w:jc w:val="center"/>
            </w:pPr>
            <w:r>
              <w:rPr>
                <w:rFonts w:ascii="Times New Roman" w:hAnsi="Times New Roman"/>
                <w:sz w:val="14"/>
              </w:rPr>
              <w:t>Confirmed</w:t>
            </w:r>
          </w:p>
        </w:tc>
        <w:tc>
          <w:tcPr>
            <w:tcW w:type="dxa" w:w="792"/>
            <w:vAlign w:val="center"/>
          </w:tcPr>
          <w:p>
            <w:pPr>
              <w:spacing w:before="24" w:after="20"/>
              <w:jc w:val="center"/>
            </w:pPr>
            <w:r>
              <w:rPr>
                <w:rFonts w:ascii="Times New Roman" w:hAnsi="Times New Roman"/>
                <w:sz w:val="14"/>
              </w:rPr>
              <w:t>Block 5,612,408</w:t>
            </w:r>
          </w:p>
        </w:tc>
        <w:tc>
          <w:tcPr>
            <w:tcW w:type="dxa" w:w="720"/>
            <w:vAlign w:val="center"/>
          </w:tcPr>
          <w:p>
            <w:pPr>
              <w:spacing w:before="24" w:after="20"/>
              <w:jc w:val="center"/>
            </w:pPr>
            <w:r>
              <w:rPr>
                <w:rFonts w:ascii="Times New Roman" w:hAnsi="Times New Roman"/>
                <w:sz w:val="14"/>
              </w:rPr>
              <w:t>ACTIVE</w:t>
            </w:r>
          </w:p>
        </w:tc>
      </w:tr>
      <w:tr>
        <w:tc>
          <w:tcPr>
            <w:tcW w:type="dxa" w:w="1656"/>
            <w:vAlign w:val="center"/>
          </w:tcPr>
          <w:p>
            <w:pPr>
              <w:spacing w:before="24" w:after="20"/>
              <w:jc w:val="left"/>
            </w:pPr>
            <w:r>
              <w:rPr>
                <w:rFonts w:ascii="Times New Roman" w:hAnsi="Times New Roman"/>
                <w:sz w:val="14"/>
              </w:rPr>
              <w:t>Dual-Ledger Reconciliation</w:t>
            </w:r>
          </w:p>
        </w:tc>
        <w:tc>
          <w:tcPr>
            <w:tcW w:type="dxa" w:w="936"/>
            <w:vAlign w:val="center"/>
          </w:tcPr>
          <w:p>
            <w:pPr>
              <w:spacing w:before="24" w:after="20"/>
              <w:jc w:val="center"/>
            </w:pPr>
            <w:r>
              <w:rPr>
                <w:rFonts w:ascii="Times New Roman" w:hAnsi="Times New Roman"/>
                <w:sz w:val="14"/>
              </w:rPr>
              <w:t>100 Trial Allocations</w:t>
            </w:r>
          </w:p>
        </w:tc>
        <w:tc>
          <w:tcPr>
            <w:tcW w:type="dxa" w:w="792"/>
            <w:vAlign w:val="center"/>
          </w:tcPr>
          <w:p>
            <w:pPr>
              <w:spacing w:before="24" w:after="20"/>
              <w:jc w:val="center"/>
            </w:pPr>
            <w:r>
              <w:rPr>
                <w:rFonts w:ascii="Times New Roman" w:hAnsi="Times New Roman"/>
                <w:sz w:val="14"/>
              </w:rPr>
              <w:t>100% Matched</w:t>
            </w:r>
          </w:p>
        </w:tc>
        <w:tc>
          <w:tcPr>
            <w:tcW w:type="dxa" w:w="792"/>
            <w:vAlign w:val="center"/>
          </w:tcPr>
          <w:p>
            <w:pPr>
              <w:spacing w:before="24" w:after="20"/>
              <w:jc w:val="center"/>
            </w:pPr>
            <w:r>
              <w:rPr>
                <w:rFonts w:ascii="Times New Roman" w:hAnsi="Times New Roman"/>
                <w:sz w:val="14"/>
              </w:rPr>
              <w:t>4.12 s</w:t>
            </w:r>
          </w:p>
        </w:tc>
        <w:tc>
          <w:tcPr>
            <w:tcW w:type="dxa" w:w="720"/>
            <w:vAlign w:val="center"/>
          </w:tcPr>
          <w:p>
            <w:pPr>
              <w:spacing w:before="24" w:after="20"/>
              <w:jc w:val="center"/>
            </w:pPr>
            <w:r>
              <w:rPr>
                <w:rFonts w:ascii="Times New Roman" w:hAnsi="Times New Roman"/>
                <w:sz w:val="14"/>
              </w:rPr>
              <w:t>PASSED</w:t>
            </w:r>
          </w:p>
        </w:tc>
      </w:tr>
    </w:tbl>
    <w:p>
      <w:pPr>
        <w:keepNext/>
        <w:spacing w:before="40" w:after="10"/>
        <w:jc w:val="left"/>
      </w:pPr>
      <w:r>
        <w:rPr>
          <w:rFonts w:ascii="Times New Roman" w:hAnsi="Times New Roman"/>
          <w:b/>
          <w:sz w:val="19"/>
        </w:rPr>
        <w:t>7.2 Functional and Security Verification Analysis</w:t>
      </w:r>
    </w:p>
    <w:p>
      <w:pPr>
        <w:spacing w:before="0" w:after="0" w:line="242" w:lineRule="auto"/>
        <w:ind w:firstLine="259"/>
        <w:jc w:val="both"/>
      </w:pPr>
      <w:r>
        <w:rPr>
          <w:rFonts w:ascii="Times New Roman" w:hAnsi="Times New Roman"/>
          <w:sz w:val="19"/>
        </w:rPr>
        <w:t>The backend test harness comprising 23 distinct test suites validated all core security and operational pathways. Phase 1 Security tests verified that missing or weak JWT secrets trigger immediate startup exceptions, while CORS restrictions correctly reject unauthorized origins. Phase 2 Financial Year tests validated that multi-year budgets remain strictly partitioned and active cycles cannot be deleted. Phase 3 Jurisdiction Isolation tests confirmed that state treasury officers cannot view or modify allocations belonging to foreign states, and district collectors are strictly isolated to their assigned regional jurisdiction. Phase 4 Fund Calculation tests validated that zero overdraws occur under boundary conditions, and floating-point rounding errors are eliminated. Phase 5 Blockchain Verification tests confirmed that forged transaction hashes and receipts lacking status 1 are rejected. All 204 automated tests executed with zero failures in 60.24 seconds.</w:t>
      </w:r>
    </w:p>
    <w:p>
      <w:pPr>
        <w:spacing w:before="0" w:after="0" w:line="242" w:lineRule="auto"/>
        <w:ind w:firstLine="259"/>
        <w:jc w:val="both"/>
      </w:pPr>
      <w:r>
        <w:rPr>
          <w:rFonts w:ascii="Times New Roman" w:hAnsi="Times New Roman"/>
          <w:sz w:val="19"/>
        </w:rPr>
        <w:t>The smart contract test suite validated role initialization, hierarchical devolution balance ceilings, milestone escrow locks, evidence hash anchoring, and emergency project freeze functionality. Revert assertions confirmed that attempting to transfer funds exceeding parent ceilings terminates immediately with appropriate error strings.</w:t>
      </w:r>
    </w:p>
    <w:p>
      <w:pPr>
        <w:spacing w:before="0" w:after="0" w:line="242" w:lineRule="auto"/>
        <w:ind w:firstLine="259"/>
        <w:jc w:val="both"/>
      </w:pPr>
      <w:r>
        <w:rPr>
          <w:rFonts w:ascii="Times New Roman" w:hAnsi="Times New Roman"/>
          <w:sz w:val="19"/>
        </w:rPr>
        <w:t>The live contract deployment on the Ethereum Sepolia testnet was verified at contract address 0x103cdC78636491B20deadC5574755Bbd64B119c6 under deployment transaction hash 0x001429b80bd5e236806d8c902a1ec47c035040b542dc40a523ade5ac3967ddc6. Role initialization was finalized under transaction hash 0x74903381319807203deab858548127d9a354458b9f85b8dc1e2b9c9a2f81da73.</w:t>
      </w:r>
    </w:p>
    <w:p>
      <w:pPr>
        <w:keepNext/>
        <w:spacing w:before="40" w:after="10"/>
        <w:jc w:val="left"/>
      </w:pPr>
      <w:r>
        <w:rPr>
          <w:rFonts w:ascii="Times New Roman" w:hAnsi="Times New Roman"/>
          <w:b/>
          <w:sz w:val="19"/>
        </w:rPr>
        <w:t>7.3 Explicit Statement of Unperformed Evaluations</w:t>
      </w:r>
    </w:p>
    <w:p>
      <w:pPr>
        <w:spacing w:before="0" w:after="0" w:line="242" w:lineRule="auto"/>
        <w:ind w:firstLine="259"/>
        <w:jc w:val="both"/>
      </w:pPr>
      <w:r>
        <w:rPr>
          <w:rFonts w:ascii="Times New Roman" w:hAnsi="Times New Roman"/>
          <w:sz w:val="19"/>
        </w:rPr>
        <w:t>In accordance with strict academic integrity, this study explicitly identifies evaluations that have not yet been performed: (1) High-concurrency load testing under 100 to 1,000 simultaneous virtual users has not been conducted; (2) Formal empirical gas profiling under fluctuating mainnet gas price conditions has not been benchmarked; (3) Live fiat settlement through central bank payment switches (e.g. RBI RTGS/NEFT) remains simulated via virtual accounting ledgers; and (4) Large-scale longitudinal citizen field trials in municipal offices have not yet been executed.</w:t>
      </w:r>
    </w:p>
    <w:p>
      <w:pPr>
        <w:keepNext/>
        <w:spacing w:before="50" w:after="20"/>
        <w:jc w:val="left"/>
      </w:pPr>
      <w:r>
        <w:rPr>
          <w:rFonts w:ascii="Times New Roman" w:hAnsi="Times New Roman"/>
          <w:b/>
          <w:sz w:val="20"/>
        </w:rPr>
        <w:t>VIII. Limitations and Future Scope:</w:t>
      </w:r>
    </w:p>
    <w:p>
      <w:pPr>
        <w:spacing w:before="0" w:after="0" w:line="242" w:lineRule="auto"/>
        <w:ind w:firstLine="259"/>
        <w:jc w:val="both"/>
      </w:pPr>
      <w:r>
        <w:rPr>
          <w:rFonts w:ascii="Times New Roman" w:hAnsi="Times New Roman"/>
          <w:sz w:val="19"/>
        </w:rPr>
        <w:t>Despite demonstrated functional success, the current system possesses several technical limitations that define clear future research avenues:</w:t>
      </w:r>
    </w:p>
    <w:p>
      <w:pPr>
        <w:spacing w:before="0" w:after="0" w:line="242" w:lineRule="auto"/>
        <w:ind w:firstLine="259"/>
        <w:jc w:val="both"/>
      </w:pPr>
      <w:r>
        <w:rPr>
          <w:rFonts w:ascii="Times New Roman" w:hAnsi="Times New Roman"/>
          <w:sz w:val="19"/>
        </w:rPr>
        <w:t>1) Public Testnet Constraints: The contract operates on the Ethereum Sepolia testnet; mainnet deployment requires independent security audits and optimized gas subsidization models.</w:t>
      </w:r>
    </w:p>
    <w:p>
      <w:pPr>
        <w:spacing w:before="0" w:after="0" w:line="242" w:lineRule="auto"/>
        <w:ind w:firstLine="259"/>
        <w:jc w:val="both"/>
      </w:pPr>
      <w:r>
        <w:rPr>
          <w:rFonts w:ascii="Times New Roman" w:hAnsi="Times New Roman"/>
          <w:sz w:val="19"/>
        </w:rPr>
        <w:t>2) Human Inspection Dependency: Milestone approvals currently depend on physical district inspections; no automated oracle integrates satellite synthetic aperture radar (SAR) or drone photogrammetry to verify physical earthwork progress autonomously.</w:t>
      </w:r>
    </w:p>
    <w:p>
      <w:pPr>
        <w:spacing w:before="0" w:after="0" w:line="242" w:lineRule="auto"/>
        <w:ind w:firstLine="259"/>
        <w:jc w:val="both"/>
      </w:pPr>
      <w:r>
        <w:rPr>
          <w:rFonts w:ascii="Times New Roman" w:hAnsi="Times New Roman"/>
          <w:sz w:val="19"/>
        </w:rPr>
        <w:t>3) Administrative Contractor KYC: Contractor registration relies on administrative document review rather than decentralized Zero-Knowledge Identity proofs (zk-SNARKs).</w:t>
      </w:r>
    </w:p>
    <w:p>
      <w:pPr>
        <w:spacing w:before="0" w:after="0" w:line="242" w:lineRule="auto"/>
        <w:ind w:firstLine="259"/>
        <w:jc w:val="both"/>
      </w:pPr>
      <w:r>
        <w:rPr>
          <w:rFonts w:ascii="Times New Roman" w:hAnsi="Times New Roman"/>
          <w:sz w:val="19"/>
        </w:rPr>
        <w:t>4) Server-Hosted File Repository: Photographic and invoice evidence files reside on an enterprise server repository rather than decentralized content-addressed networks (e.g., IPFS or Arweave).</w:t>
      </w:r>
    </w:p>
    <w:p>
      <w:pPr>
        <w:spacing w:before="0" w:after="0" w:line="242" w:lineRule="auto"/>
        <w:ind w:firstLine="259"/>
        <w:jc w:val="both"/>
      </w:pPr>
      <w:r>
        <w:rPr>
          <w:rFonts w:ascii="Times New Roman" w:hAnsi="Times New Roman"/>
          <w:sz w:val="19"/>
        </w:rPr>
        <w:t>5) Virtual Accounting Settlement: Disbursals represent virtual escrow accounting units; integration with central bank digital currencies (CBDC) or programmable e-RUPI vouchers is required for atomic fiat settlement.</w:t>
      </w:r>
    </w:p>
    <w:p>
      <w:pPr>
        <w:keepNext/>
        <w:spacing w:before="40" w:after="10"/>
        <w:jc w:val="left"/>
      </w:pPr>
      <w:r>
        <w:rPr>
          <w:rFonts w:ascii="Times New Roman" w:hAnsi="Times New Roman"/>
          <w:b/>
          <w:sz w:val="19"/>
        </w:rPr>
        <w:t>8.1 Future Research Roadmap</w:t>
      </w:r>
    </w:p>
    <w:p>
      <w:pPr>
        <w:spacing w:before="0" w:after="0" w:line="242" w:lineRule="auto"/>
        <w:ind w:firstLine="259"/>
        <w:jc w:val="both"/>
      </w:pPr>
      <w:r>
        <w:rPr>
          <w:rFonts w:ascii="Times New Roman" w:hAnsi="Times New Roman"/>
          <w:sz w:val="19"/>
        </w:rPr>
        <w:t>Future research will prioritize: (1) Migrating smart contracts to an Ethereum Layer-2 optimistic or ZK-rollup (e.g. Arbitrum or Polygon zkEVM) to achieve sub-cent transaction fees; (2) Implementing Chainlink decentralized oracle networks for automated weather delay verifications; (3) Anchoring IPFS Content Identifiers (CIDs) on-chain for tamper-proof decentralized media persistence; (4) Integrating zero-knowledge KYC credentials; and (5) Executing pilot field deployments across municipal district collectorates.</w:t>
      </w:r>
    </w:p>
    <w:p>
      <w:pPr>
        <w:keepNext/>
        <w:spacing w:before="50" w:after="20"/>
        <w:jc w:val="left"/>
      </w:pPr>
      <w:r>
        <w:rPr>
          <w:rFonts w:ascii="Times New Roman" w:hAnsi="Times New Roman"/>
          <w:b/>
          <w:sz w:val="20"/>
        </w:rPr>
        <w:t>IX. Conclusion:</w:t>
      </w:r>
    </w:p>
    <w:p>
      <w:pPr>
        <w:spacing w:before="0" w:after="0" w:line="242" w:lineRule="auto"/>
        <w:ind w:firstLine="259"/>
        <w:jc w:val="both"/>
      </w:pPr>
      <w:r>
        <w:rPr>
          <w:rFonts w:ascii="Times New Roman" w:hAnsi="Times New Roman"/>
          <w:sz w:val="19"/>
        </w:rPr>
        <w:t>This paper presented the design, implementation, and empirical verification of a hybrid, multi-tier Government Fund Allocation and Tracking System Over Blockchain (PFMS 2.0). By programmatically bifurcating high-integrity financial devolution from high-volume operational media storage, the architecture resolves the long-standing trilemma between blockchain immutability, enterprise storage costs, and statutory citizen privacy. A Solidity smart contract deployed on Ethereum Sepolia enforces inviolable budget ceiling invariants across four administrative tiers alongside an emergency freeze circuit breaker and SHA-256 evidence anchoring. Concurrently, an asynchronous FastAPI gateway and indexed MongoDB datastore orchestrate role-based access control, contractor KYC vetting, and milestone-based escrow releases across structured 30%/40%/30% tranches. The universal public QR verification gateway bridges physical construction signboards directly to an unauthenticated public ledger explorer, empowering citizen watchdogs with real-time auditability. Extensive automated testing demonstrated 100% pass rates across 204 backend tests, 31 smart contract tests, and a production build of 1,705 modules. The platform establishes a practical, mathematically verifiable, and computationally scalable foundation for accountable governance and leakage-free public financial management.</w:t>
      </w:r>
    </w:p>
    <w:p>
      <w:pPr>
        <w:keepNext/>
        <w:spacing w:before="50" w:after="20"/>
        <w:jc w:val="left"/>
      </w:pPr>
      <w:r>
        <w:rPr>
          <w:rFonts w:ascii="Times New Roman" w:hAnsi="Times New Roman"/>
          <w:b/>
          <w:sz w:val="20"/>
        </w:rPr>
        <w:t>References:</w:t>
      </w:r>
    </w:p>
    <w:p>
      <w:pPr>
        <w:spacing w:before="30" w:after="40" w:line="242" w:lineRule="auto"/>
        <w:ind w:left="346" w:hanging="346"/>
        <w:jc w:val="both"/>
      </w:pPr>
      <w:r>
        <w:rPr>
          <w:rFonts w:ascii="Times New Roman" w:hAnsi="Times New Roman"/>
          <w:b/>
          <w:sz w:val="16"/>
        </w:rPr>
        <w:t xml:space="preserve">1. </w:t>
      </w:r>
      <w:r>
        <w:rPr>
          <w:rFonts w:ascii="Times New Roman" w:hAnsi="Times New Roman"/>
          <w:sz w:val="16"/>
        </w:rPr>
        <w:t>Nakamoto, S., 2008. Bitcoin: A peer-to-peer electronic cash system. Decentralized Business Review. [Online]. Available: https://bitcoin.org/bitcoin.pdf</w:t>
      </w:r>
    </w:p>
    <w:p>
      <w:pPr>
        <w:spacing w:before="30" w:after="40" w:line="242" w:lineRule="auto"/>
        <w:ind w:left="346" w:hanging="346"/>
        <w:jc w:val="both"/>
      </w:pPr>
      <w:r>
        <w:rPr>
          <w:rFonts w:ascii="Times New Roman" w:hAnsi="Times New Roman"/>
          <w:b/>
          <w:sz w:val="16"/>
        </w:rPr>
        <w:t xml:space="preserve">2. </w:t>
      </w:r>
      <w:r>
        <w:rPr>
          <w:rFonts w:ascii="Times New Roman" w:hAnsi="Times New Roman"/>
          <w:sz w:val="16"/>
        </w:rPr>
        <w:t>Buterin, V., 2013. A next-generation smart contract and decentralized application platform. Ethereum White Paper, 1(1), pp. 1–36.</w:t>
      </w:r>
    </w:p>
    <w:p>
      <w:pPr>
        <w:spacing w:before="30" w:after="40" w:line="242" w:lineRule="auto"/>
        <w:ind w:left="346" w:hanging="346"/>
        <w:jc w:val="both"/>
      </w:pPr>
      <w:r>
        <w:rPr>
          <w:rFonts w:ascii="Times New Roman" w:hAnsi="Times New Roman"/>
          <w:b/>
          <w:sz w:val="16"/>
        </w:rPr>
        <w:t xml:space="preserve">3. </w:t>
      </w:r>
      <w:r>
        <w:rPr>
          <w:rFonts w:ascii="Times New Roman" w:hAnsi="Times New Roman"/>
          <w:sz w:val="16"/>
        </w:rPr>
        <w:t>Wood, G., 2014. Ethereum: A secure decentralised generalised transaction ledger. Ethereum Project Yellow Paper, 151(2014), pp. 1–32.</w:t>
      </w:r>
    </w:p>
    <w:p>
      <w:pPr>
        <w:spacing w:before="30" w:after="40" w:line="242" w:lineRule="auto"/>
        <w:ind w:left="346" w:hanging="346"/>
        <w:jc w:val="both"/>
      </w:pPr>
      <w:r>
        <w:rPr>
          <w:rFonts w:ascii="Times New Roman" w:hAnsi="Times New Roman"/>
          <w:b/>
          <w:sz w:val="16"/>
        </w:rPr>
        <w:t xml:space="preserve">4. </w:t>
      </w:r>
      <w:r>
        <w:rPr>
          <w:rFonts w:ascii="Times New Roman" w:hAnsi="Times New Roman"/>
          <w:sz w:val="16"/>
        </w:rPr>
        <w:t>Ølnes, S., Ubacht, J. and Janssen, M., 2017. Blockchain in government: Benefits and implications of distributed ledger technology for information sharing. Government Information Quarterly, 34(3), pp. 355–364. DOI: 10.1016/j.giq.2017.09.007.</w:t>
      </w:r>
    </w:p>
    <w:p>
      <w:pPr>
        <w:spacing w:before="30" w:after="40" w:line="242" w:lineRule="auto"/>
        <w:ind w:left="346" w:hanging="346"/>
        <w:jc w:val="both"/>
      </w:pPr>
      <w:r>
        <w:rPr>
          <w:rFonts w:ascii="Times New Roman" w:hAnsi="Times New Roman"/>
          <w:b/>
          <w:sz w:val="16"/>
        </w:rPr>
        <w:t xml:space="preserve">5. </w:t>
      </w:r>
      <w:r>
        <w:rPr>
          <w:rFonts w:ascii="Times New Roman" w:hAnsi="Times New Roman"/>
          <w:sz w:val="16"/>
        </w:rPr>
        <w:t>Wüst, K. and Gervais, A., 2018. Do you need a blockchain? In Proc. 2018 Crypto Valley Conf. Blockchain Technology (CVCBT), Zug, Switzerland, pp. 45–54. DOI: 10.1109/CVCBT.2018.00011.</w:t>
      </w:r>
    </w:p>
    <w:p>
      <w:pPr>
        <w:spacing w:before="30" w:after="40" w:line="242" w:lineRule="auto"/>
        <w:ind w:left="346" w:hanging="346"/>
        <w:jc w:val="both"/>
      </w:pPr>
      <w:r>
        <w:rPr>
          <w:rFonts w:ascii="Times New Roman" w:hAnsi="Times New Roman"/>
          <w:b/>
          <w:sz w:val="16"/>
        </w:rPr>
        <w:t xml:space="preserve">6. </w:t>
      </w:r>
      <w:r>
        <w:rPr>
          <w:rFonts w:ascii="Times New Roman" w:hAnsi="Times New Roman"/>
          <w:sz w:val="16"/>
        </w:rPr>
        <w:t>Atzei, N., Bartoletti, M. and Cimoli, T., 2017. A survey of attacks on Ethereum smart contracts (SoK). In Principles of Security and Trust (POST), ser. Lecture Notes in Computer Science, vol. 10204, Springer, pp. 164–186. DOI: 10.1007/978-3-662-54455-6_8.</w:t>
      </w:r>
    </w:p>
    <w:p>
      <w:pPr>
        <w:spacing w:before="30" w:after="40" w:line="242" w:lineRule="auto"/>
        <w:ind w:left="346" w:hanging="346"/>
        <w:jc w:val="both"/>
      </w:pPr>
      <w:r>
        <w:rPr>
          <w:rFonts w:ascii="Times New Roman" w:hAnsi="Times New Roman"/>
          <w:b/>
          <w:sz w:val="16"/>
        </w:rPr>
        <w:t xml:space="preserve">7. </w:t>
      </w:r>
      <w:r>
        <w:rPr>
          <w:rFonts w:ascii="Times New Roman" w:hAnsi="Times New Roman"/>
          <w:sz w:val="16"/>
        </w:rPr>
        <w:t>National Institute of Standards and Technology, 2015. Secure Hash Standard (SHS). Federal Information Processing Standards Publication (FIPS PUB 180-4), Gaithersburg, MD, USA. DOI: 10.6028/NIST.FIPS.180-4.</w:t>
      </w:r>
    </w:p>
    <w:p>
      <w:pPr>
        <w:spacing w:before="30" w:after="40" w:line="242" w:lineRule="auto"/>
        <w:ind w:left="346" w:hanging="346"/>
        <w:jc w:val="both"/>
      </w:pPr>
      <w:r>
        <w:rPr>
          <w:rFonts w:ascii="Times New Roman" w:hAnsi="Times New Roman"/>
          <w:b/>
          <w:sz w:val="16"/>
        </w:rPr>
        <w:t xml:space="preserve">8. </w:t>
      </w:r>
      <w:r>
        <w:rPr>
          <w:rFonts w:ascii="Times New Roman" w:hAnsi="Times New Roman"/>
          <w:sz w:val="16"/>
        </w:rPr>
        <w:t>Jones, M., Bradley, J. and Sakimura, N., 2015. JSON Web Token (JWT). Internet Engineering Task Force (IETF), RFC 7519. DOI: 10.17487/RFC7519.</w:t>
      </w:r>
    </w:p>
    <w:p>
      <w:pPr>
        <w:spacing w:before="30" w:after="40" w:line="242" w:lineRule="auto"/>
        <w:ind w:left="346" w:hanging="346"/>
        <w:jc w:val="both"/>
      </w:pPr>
      <w:r>
        <w:rPr>
          <w:rFonts w:ascii="Times New Roman" w:hAnsi="Times New Roman"/>
          <w:b/>
          <w:sz w:val="16"/>
        </w:rPr>
        <w:t xml:space="preserve">9. </w:t>
      </w:r>
      <w:r>
        <w:rPr>
          <w:rFonts w:ascii="Times New Roman" w:hAnsi="Times New Roman"/>
          <w:sz w:val="16"/>
        </w:rPr>
        <w:t>Provos, N. and Mazières, D., 1999. A future-adaptable password scheme. In Proc. FREENIX Track: 1999 USENIX Annual Technical Conf., Monterey, CA, USA, pp. 81–91.</w:t>
      </w:r>
    </w:p>
    <w:p>
      <w:pPr>
        <w:spacing w:before="30" w:after="40" w:line="242" w:lineRule="auto"/>
        <w:ind w:left="346" w:hanging="346"/>
        <w:jc w:val="both"/>
      </w:pPr>
      <w:r>
        <w:rPr>
          <w:rFonts w:ascii="Times New Roman" w:hAnsi="Times New Roman"/>
          <w:b/>
          <w:sz w:val="16"/>
        </w:rPr>
        <w:t xml:space="preserve">10. </w:t>
      </w:r>
      <w:r>
        <w:rPr>
          <w:rFonts w:ascii="Times New Roman" w:hAnsi="Times New Roman"/>
          <w:sz w:val="16"/>
        </w:rPr>
        <w:t>Bernstein, P. A., Hadzilacos, V. and Goodman, N., 1987. Concurrency Control and Recovery in Database Systems. Reading, MA, USA: Addison-Wesley, ISBN: 0-201-10715-5.</w:t>
      </w:r>
    </w:p>
    <w:sectPr w:rsidR="00FC693F" w:rsidRPr="0006063C" w:rsidSect="00034616">
      <w:headerReference w:type="default" r:id="rId11"/>
      <w:footerReference w:type="default" r:id="rId12"/>
      <w:type w:val="continuous"/>
      <w:pgSz w:w="12240" w:h="15840"/>
      <w:pgMar w:top="936" w:right="936" w:bottom="936" w:left="936" w:header="504" w:footer="504" w:gutter="0"/>
      <w:cols w:space="720"/>
      <w:docGrid w:linePitch="360"/>
      <w:pgNumType w:start="1"/>
      <w:cols w:num="2" w:space="3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9"/>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9"/>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