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DRAFT reply to Timon's round-10 email — NOT YET SENT</w:t>
      </w:r>
    </w:p>
    <w:p>
      <w:pPr>
        <w:spacing w:after="160"/>
      </w:pPr>
      <w:r>
        <w:rPr>
          <w:i/>
          <w:iCs/>
        </w:rPr>
        <w:t xml:space="preserve">Review before sending. All five points are now numerically complete and verified with real GPU results, including a finished multi-resolution retraining that substantially improved point 1's story and a real accuracy-matched break-even for point 5. One thing to decide:</w:t>
      </w:r>
    </w:p>
    <w:p>
      <w:pPr>
        <w:spacing w:after="160"/>
      </w:pPr>
      <w:r>
        <w:rPr>
          <w:i/>
          <w:iCs/>
        </w:rPr>
        <w:t xml:space="preserve">Point 4 asks Timon a direct question (confirm the B7 design) — this IS the "ask Timon first" step from PROJECT_STATUS.md's own standing rule. Sending this email is what discharges that requirement.</w:t>
      </w:r>
    </w:p>
    <w:p>
      <w:pPr>
        <w:pBdr>
          <w:bottom w:val="single" w:color="999999" w:sz="6" w:space="1"/>
        </w:pBdr>
        <w:spacing w:after="100"/>
      </w:pPr>
    </w:p>
    <w:p>
      <w:pPr>
        <w:spacing w:after="100"/>
      </w:pPr>
      <w:r>
        <w:rPr>
          <w:b/>
          <w:bCs/>
        </w:rPr>
        <w:t xml:space="preserve">Subject: Round-10 follow-up: accuracy-matched comparison, throughput, profiling, and one question on the geometry example</w:t>
      </w:r>
    </w:p>
    <w:p>
      <w:pPr>
        <w:spacing w:after="160"/>
      </w:pPr>
      <w:r>
        <w:t xml:space="preserve"/>
      </w:r>
    </w:p>
    <w:p>
      <w:pPr>
        <w:spacing w:after="160"/>
      </w:pPr>
      <w:r>
        <w:t xml:space="preserve">Dear Timon,</w:t>
      </w:r>
    </w:p>
    <w:p>
      <w:pPr>
        <w:spacing w:after="160"/>
      </w:pPr>
      <w:r>
        <w:t xml:space="preserve">Here is where things stand on your five round-10 points.</w:t>
      </w:r>
    </w:p>
    <w:p>
      <w:pPr>
        <w:pStyle w:val="Heading2"/>
        <w:spacing w:after="150" w:before="300"/>
      </w:pPr>
      <w:r>
        <w:t xml:space="preserve">1. Accuracy-matched comparison (NO vs. coarsest suitable FEM)</w:t>
      </w:r>
    </w:p>
    <w:p>
      <w:pPr>
        <w:spacing w:after="160"/>
      </w:pPr>
      <w:r>
        <w:t xml:space="preserve">Along the way we found and fixed a checkpoint-loading bug that had caused the round-10 accuracy numbers to be measured against the wrong model at one point; every number below is from the corrected, fingerprint-verified checkpoint. We also went one step further: given that accuracy degraded away from the original training resolutions (N=21, 33), we retrained a new checkpoint on a wider spread (N=21, 33, 101, 201) to test whether that gap was addressable. It was, dramatically: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c>
          <w:tcPr>
            <w:tcW w:type="dxa" w:w="1800"/>
            <w:shd w:fill="DDDDDD" w:val="clear"/>
          </w:tcPr>
          <w:p>
            <w:r>
              <w:rPr>
                <w:b/>
                <w:bCs/>
                <w:sz w:val="19"/>
                <w:szCs w:val="19"/>
              </w:rPr>
              <w:t xml:space="preserve">N</w:t>
            </w:r>
          </w:p>
        </w:tc>
        <w:tc>
          <w:tcPr>
            <w:tcW w:type="dxa" w:w="3800"/>
            <w:shd w:fill="DDDDDD" w:val="clear"/>
          </w:tcPr>
          <w:p>
            <w:r>
              <w:rPr>
                <w:b/>
                <w:bCs/>
                <w:sz w:val="19"/>
                <w:szCs w:val="19"/>
              </w:rPr>
              <w:t xml:space="preserve">Original checkpoint (N=21,33 only)</w:t>
            </w:r>
          </w:p>
        </w:tc>
        <w:tc>
          <w:tcPr>
            <w:tcW w:type="dxa" w:w="3800"/>
            <w:shd w:fill="DDDDDD" w:val="clear"/>
          </w:tcPr>
          <w:p>
            <w:r>
              <w:rPr>
                <w:b/>
                <w:bCs/>
                <w:sz w:val="19"/>
                <w:szCs w:val="19"/>
              </w:rPr>
              <w:t xml:space="preserve">Retrained (N=21,33,101,201)</w:t>
            </w:r>
          </w:p>
        </w:tc>
      </w:tr>
      <w:tr>
        <w:tc>
          <w:tcPr>
            <w:tcW w:type="dxa" w:w="1800"/>
          </w:tcPr>
          <w:p>
            <w:r>
              <w:rPr>
                <w:b w:val="false"/>
                <w:bCs w:val="false"/>
                <w:sz w:val="19"/>
                <w:szCs w:val="19"/>
              </w:rPr>
              <w:t xml:space="preserve">13</w:t>
            </w:r>
          </w:p>
        </w:tc>
        <w:tc>
          <w:tcPr>
            <w:tcW w:type="dxa" w:w="3800"/>
          </w:tcPr>
          <w:p>
            <w:r>
              <w:rPr>
                <w:b w:val="false"/>
                <w:bCs w:val="false"/>
                <w:sz w:val="19"/>
                <w:szCs w:val="19"/>
              </w:rPr>
              <w:t xml:space="preserve">13.85%</w:t>
            </w:r>
          </w:p>
        </w:tc>
        <w:tc>
          <w:tcPr>
            <w:tcW w:type="dxa" w:w="3800"/>
          </w:tcPr>
          <w:p>
            <w:r>
              <w:rPr>
                <w:b w:val="false"/>
                <w:bCs w:val="false"/>
                <w:sz w:val="19"/>
                <w:szCs w:val="19"/>
              </w:rPr>
              <w:t xml:space="preserve">11.74%</w:t>
            </w:r>
          </w:p>
        </w:tc>
      </w:tr>
      <w:tr>
        <w:tc>
          <w:tcPr>
            <w:tcW w:type="dxa" w:w="1800"/>
          </w:tcPr>
          <w:p>
            <w:r>
              <w:rPr>
                <w:b w:val="false"/>
                <w:bCs w:val="false"/>
                <w:sz w:val="19"/>
                <w:szCs w:val="19"/>
              </w:rPr>
              <w:t xml:space="preserve">33</w:t>
            </w:r>
          </w:p>
        </w:tc>
        <w:tc>
          <w:tcPr>
            <w:tcW w:type="dxa" w:w="3800"/>
          </w:tcPr>
          <w:p>
            <w:r>
              <w:rPr>
                <w:b w:val="false"/>
                <w:bCs w:val="false"/>
                <w:sz w:val="19"/>
                <w:szCs w:val="19"/>
              </w:rPr>
              <w:t xml:space="preserve">7.37%</w:t>
            </w:r>
          </w:p>
        </w:tc>
        <w:tc>
          <w:tcPr>
            <w:tcW w:type="dxa" w:w="3800"/>
          </w:tcPr>
          <w:p>
            <w:r>
              <w:rPr>
                <w:b w:val="false"/>
                <w:bCs w:val="false"/>
                <w:sz w:val="19"/>
                <w:szCs w:val="19"/>
              </w:rPr>
              <w:t xml:space="preserve">3.50%</w:t>
            </w:r>
          </w:p>
        </w:tc>
      </w:tr>
      <w:tr>
        <w:tc>
          <w:tcPr>
            <w:tcW w:type="dxa" w:w="1800"/>
          </w:tcPr>
          <w:p>
            <w:r>
              <w:rPr>
                <w:b w:val="false"/>
                <w:bCs w:val="false"/>
                <w:sz w:val="19"/>
                <w:szCs w:val="19"/>
              </w:rPr>
              <w:t xml:space="preserve">49</w:t>
            </w:r>
          </w:p>
        </w:tc>
        <w:tc>
          <w:tcPr>
            <w:tcW w:type="dxa" w:w="3800"/>
          </w:tcPr>
          <w:p>
            <w:r>
              <w:rPr>
                <w:b w:val="false"/>
                <w:bCs w:val="false"/>
                <w:sz w:val="19"/>
                <w:szCs w:val="19"/>
              </w:rPr>
              <w:t xml:space="preserve">8.50%</w:t>
            </w:r>
          </w:p>
        </w:tc>
        <w:tc>
          <w:tcPr>
            <w:tcW w:type="dxa" w:w="3800"/>
          </w:tcPr>
          <w:p>
            <w:r>
              <w:rPr>
                <w:b w:val="false"/>
                <w:bCs w:val="false"/>
                <w:sz w:val="19"/>
                <w:szCs w:val="19"/>
              </w:rPr>
              <w:t xml:space="preserve">2.32%</w:t>
            </w:r>
          </w:p>
        </w:tc>
      </w:tr>
      <w:tr>
        <w:tc>
          <w:tcPr>
            <w:tcW w:type="dxa" w:w="1800"/>
          </w:tcPr>
          <w:p>
            <w:r>
              <w:rPr>
                <w:b w:val="false"/>
                <w:bCs w:val="false"/>
                <w:sz w:val="19"/>
                <w:szCs w:val="19"/>
              </w:rPr>
              <w:t xml:space="preserve">101</w:t>
            </w:r>
          </w:p>
        </w:tc>
        <w:tc>
          <w:tcPr>
            <w:tcW w:type="dxa" w:w="3800"/>
          </w:tcPr>
          <w:p>
            <w:r>
              <w:rPr>
                <w:b w:val="false"/>
                <w:bCs w:val="false"/>
                <w:sz w:val="19"/>
                <w:szCs w:val="19"/>
              </w:rPr>
              <w:t xml:space="preserve">14.99%</w:t>
            </w:r>
          </w:p>
        </w:tc>
        <w:tc>
          <w:tcPr>
            <w:tcW w:type="dxa" w:w="3800"/>
          </w:tcPr>
          <w:p>
            <w:r>
              <w:rPr>
                <w:b w:val="false"/>
                <w:bCs w:val="false"/>
                <w:sz w:val="19"/>
                <w:szCs w:val="19"/>
              </w:rPr>
              <w:t xml:space="preserve">3.55%</w:t>
            </w:r>
          </w:p>
        </w:tc>
      </w:tr>
      <w:tr>
        <w:tc>
          <w:tcPr>
            <w:tcW w:type="dxa" w:w="1800"/>
          </w:tcPr>
          <w:p>
            <w:r>
              <w:rPr>
                <w:b w:val="false"/>
                <w:bCs w:val="false"/>
                <w:sz w:val="19"/>
                <w:szCs w:val="19"/>
              </w:rPr>
              <w:t xml:space="preserve">201</w:t>
            </w:r>
          </w:p>
        </w:tc>
        <w:tc>
          <w:tcPr>
            <w:tcW w:type="dxa" w:w="3800"/>
          </w:tcPr>
          <w:p>
            <w:r>
              <w:rPr>
                <w:b w:val="false"/>
                <w:bCs w:val="false"/>
                <w:sz w:val="19"/>
                <w:szCs w:val="19"/>
              </w:rPr>
              <w:t xml:space="preserve">22.28%</w:t>
            </w:r>
          </w:p>
        </w:tc>
        <w:tc>
          <w:tcPr>
            <w:tcW w:type="dxa" w:w="3800"/>
          </w:tcPr>
          <w:p>
            <w:r>
              <w:rPr>
                <w:b w:val="false"/>
                <w:bCs w:val="false"/>
                <w:sz w:val="19"/>
                <w:szCs w:val="19"/>
              </w:rPr>
              <w:t xml:space="preserve">4.85%</w:t>
            </w:r>
          </w:p>
        </w:tc>
      </w:tr>
      <w:tr>
        <w:tc>
          <w:tcPr>
            <w:tcW w:type="dxa" w:w="1800"/>
          </w:tcPr>
          <w:p>
            <w:r>
              <w:rPr>
                <w:b w:val="false"/>
                <w:bCs w:val="false"/>
                <w:sz w:val="19"/>
                <w:szCs w:val="19"/>
              </w:rPr>
              <w:t xml:space="preserve">701</w:t>
            </w:r>
          </w:p>
        </w:tc>
        <w:tc>
          <w:tcPr>
            <w:tcW w:type="dxa" w:w="3800"/>
          </w:tcPr>
          <w:p>
            <w:r>
              <w:rPr>
                <w:b w:val="false"/>
                <w:bCs w:val="false"/>
                <w:sz w:val="19"/>
                <w:szCs w:val="19"/>
              </w:rPr>
              <w:t xml:space="preserve">34.34%</w:t>
            </w:r>
          </w:p>
        </w:tc>
        <w:tc>
          <w:tcPr>
            <w:tcW w:type="dxa" w:w="3800"/>
          </w:tcPr>
          <w:p>
            <w:r>
              <w:rPr>
                <w:b w:val="false"/>
                <w:bCs w:val="false"/>
                <w:sz w:val="19"/>
                <w:szCs w:val="19"/>
              </w:rPr>
              <w:t xml:space="preserve">5.88%</w:t>
            </w:r>
          </w:p>
        </w:tc>
      </w:tr>
      <w:tr>
        <w:tc>
          <w:tcPr>
            <w:tcW w:type="dxa" w:w="1800"/>
          </w:tcPr>
          <w:p>
            <w:r>
              <w:rPr>
                <w:b w:val="false"/>
                <w:bCs w:val="false"/>
                <w:sz w:val="19"/>
                <w:szCs w:val="19"/>
              </w:rPr>
              <w:t xml:space="preserve">1401</w:t>
            </w:r>
          </w:p>
        </w:tc>
        <w:tc>
          <w:tcPr>
            <w:tcW w:type="dxa" w:w="3800"/>
          </w:tcPr>
          <w:p>
            <w:r>
              <w:rPr>
                <w:b w:val="false"/>
                <w:bCs w:val="false"/>
                <w:sz w:val="19"/>
                <w:szCs w:val="19"/>
              </w:rPr>
              <w:t xml:space="preserve">44.65%</w:t>
            </w:r>
          </w:p>
        </w:tc>
        <w:tc>
          <w:tcPr>
            <w:tcW w:type="dxa" w:w="3800"/>
          </w:tcPr>
          <w:p>
            <w:r>
              <w:rPr>
                <w:b w:val="false"/>
                <w:bCs w:val="false"/>
                <w:sz w:val="19"/>
                <w:szCs w:val="19"/>
              </w:rPr>
              <w:t xml:space="preserve">5.85%</w:t>
            </w:r>
          </w:p>
        </w:tc>
      </w:tr>
    </w:tbl>
    <w:p>
      <w:pPr>
        <w:spacing w:after="260"/>
      </w:pPr>
      <w:r>
        <w:rPr>
          <w:i/>
          <w:iCs/>
          <w:sz w:val="18"/>
          <w:szCs w:val="18"/>
        </w:rPr>
        <w:t xml:space="preserve">Table 1. disp_rel_L2 vs. a real FEM ground truth at every N, both checkpoints (full 16-row tables available). Ground-truth convergence confirmed at every resolution, relative residual 4.6e-10 to 1.0e-10 throughout.</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spacing w:after="260"/>
      </w:pPr>
      <w:r>
        <w:rPr>
          <w:i/>
          <w:iCs/>
          <w:sz w:val="18"/>
          <w:szCs w:val="18"/>
        </w:rPr>
        <w:t xml:space="preserve">Figure 1. Original checkpoint's accuracy degradation, N=49 to N=1401 (pre-retraining).</w:t>
      </w:r>
    </w:p>
    <w:p>
      <w:pPr>
        <w:spacing w:after="160"/>
      </w:pPr>
      <w:r>
        <w:t xml:space="preserve">Widening the training-resolution set does not just shrink the error — it changes its whole shape: the original checkpoint degraded monotonically the further N got from 21/33, up to 44.65% at N=1401. The retrained checkpoint instead gets progressively more accurate up to ~N=45-49 (best 2.3%), then plateaus around 5.8-5.9% instead of continuing to climb — a 7.6x reduction in error at N=1401.</w:t>
      </w:r>
    </w:p>
    <w:p>
      <w:pPr>
        <w:spacing w:after="160"/>
      </w:pPr>
      <w:r>
        <w:t xml:space="preserve">Comparing the retrained checkpoint's full QoI set (L2, H1, tangent energy, peak PK1 stress, reaction resultant) against native FEM at the same low resolutions (N=3-49):</w:t>
      </w:r>
    </w:p>
    <w:p>
      <w:pPr>
        <w:pStyle w:val="ListParagraph"/>
        <w:numPr>
          <w:ilvl w:val="0"/>
          <w:numId w:val="1"/>
        </w:numPr>
        <w:spacing w:after="100"/>
      </w:pPr>
      <w:r>
        <w:t xml:space="preserve">For L2, H1, tangent energy, and reactions, a near-degenerate FEM mesh (N=3-9) still matches or beats the operator's accuracy — unchanged from before.</w:t>
      </w:r>
    </w:p>
    <w:p>
      <w:pPr>
        <w:pStyle w:val="ListParagraph"/>
        <w:numPr>
          <w:ilvl w:val="0"/>
          <w:numId w:val="1"/>
        </w:numPr>
        <w:spacing w:after="100"/>
      </w:pPr>
      <w:r>
        <w:t xml:space="preserve">Peak PK1 stress (evaluated at a fixed physical location located once from a fine reference, not the coarse mesh's own sample-max) tells a genuinely different story now: the retrained checkpoint's peak-stress accuracy (42-70% relative error, improved at every single N) is now BETTER than anything torch-fem achieves in the same low-N range (62% at best, N=49) for every NO resolution from N=29 upward. FEM would need N&gt;49 (untested here) to match it.</w:t>
      </w:r>
    </w:p>
    <w:p>
      <w:pPr>
        <w:pStyle w:val="ListParagraph"/>
        <w:numPr>
          <w:ilvl w:val="0"/>
          <w:numId w:val="1"/>
        </w:numPr>
        <w:spacing w:after="100"/>
      </w:pPr>
      <w:r>
        <w:t xml:space="preserve">As a result, the "coarsest suitable FEM" is now bound by tangent energy rather than peak stress for most resolutions, and dropped from N=17-45 (original checkpoint) to a genuinely near-degenerate N=9-17 (retrained checkpoint) for almost every resolution tested.</w:t>
      </w:r>
    </w:p>
    <w:p>
      <w:pPr>
        <w:spacing w:after="160"/>
      </w:pPr>
      <w:r>
        <w:t xml:space="preserve">The same caveat as before still applies to peak stress specifically: the located point sits essentially at the domain corner where the fixed boundary meets the free edge — a classic boundary-condition-transition location prone to a stress singularity, where the continuum target may not be well-posed for either method to converge to cleanly. Both methods still converge to it slowly. We think this metric should carry that caveat rather than be read as an unqualified result — but the improvement itself is real and directly measured against independent FEM ground truth, not a training-validation artifact.</w:t>
      </w:r>
    </w:p>
    <w:p>
      <w:pPr>
        <w:pStyle w:val="Heading2"/>
        <w:spacing w:after="150" w:before="300"/>
      </w:pPr>
      <w:r>
        <w:t xml:space="preserve">2. Batch size and throughput at matched GPU memory</w:t>
      </w:r>
    </w:p>
    <w:p>
      <w:pPr>
        <w:spacing w:after="160"/>
      </w:pPr>
      <w:r>
        <w:t xml:space="preserve">Re-measured with the corrected checkpoint, including two additional matched-memory scenarios (each method capped at the other's own memory ceiling), N=21: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800"/>
      </w:tblGrid>
      <w:tr>
        <w:tc>
          <w:tcPr>
            <w:tcW w:type="dxa" w:w="3200"/>
            <w:shd w:fill="DDDDDD" w:val="clear"/>
          </w:tcPr>
          <w:p>
            <w:r>
              <w:rPr>
                <w:b/>
                <w:bCs/>
                <w:sz w:val="19"/>
                <w:szCs w:val="19"/>
              </w:rPr>
              <w:t xml:space="preserve">Scenario</w:t>
            </w:r>
          </w:p>
        </w:tc>
        <w:tc>
          <w:tcPr>
            <w:tcW w:type="dxa" w:w="2200"/>
            <w:shd w:fill="DDDDDD" w:val="clear"/>
          </w:tcPr>
          <w:p>
            <w:r>
              <w:rPr>
                <w:b/>
                <w:bCs/>
                <w:sz w:val="19"/>
                <w:szCs w:val="19"/>
              </w:rPr>
              <w:t xml:space="preserve">Max batch size</w:t>
            </w:r>
          </w:p>
        </w:tc>
        <w:tc>
          <w:tcPr>
            <w:tcW w:type="dxa" w:w="2200"/>
            <w:shd w:fill="DDDDDD" w:val="clear"/>
          </w:tcPr>
          <w:p>
            <w:r>
              <w:rPr>
                <w:b/>
                <w:bCs/>
                <w:sz w:val="19"/>
                <w:szCs w:val="19"/>
              </w:rPr>
              <w:t xml:space="preserve">Peak GPU memory</w:t>
            </w:r>
          </w:p>
        </w:tc>
        <w:tc>
          <w:tcPr>
            <w:tcW w:type="dxa" w:w="2800"/>
            <w:shd w:fill="DDDDDD" w:val="clear"/>
          </w:tcPr>
          <w:p>
            <w:r>
              <w:rPr>
                <w:b/>
                <w:bCs/>
                <w:sz w:val="19"/>
                <w:szCs w:val="19"/>
              </w:rPr>
              <w:t xml:space="preserve">Throughput</w:t>
            </w:r>
          </w:p>
        </w:tc>
      </w:tr>
      <w:tr>
        <w:tc>
          <w:tcPr>
            <w:tcW w:type="dxa" w:w="3200"/>
          </w:tcPr>
          <w:p>
            <w:r>
              <w:rPr>
                <w:b w:val="false"/>
                <w:bCs w:val="false"/>
                <w:sz w:val="19"/>
                <w:szCs w:val="19"/>
              </w:rPr>
              <w:t xml:space="preserve">NO (own ceiling)</w:t>
            </w:r>
          </w:p>
        </w:tc>
        <w:tc>
          <w:tcPr>
            <w:tcW w:type="dxa" w:w="2200"/>
          </w:tcPr>
          <w:p>
            <w:r>
              <w:rPr>
                <w:b w:val="false"/>
                <w:bCs w:val="false"/>
                <w:sz w:val="19"/>
                <w:szCs w:val="19"/>
              </w:rPr>
              <w:t xml:space="preserve">8,192</w:t>
            </w:r>
          </w:p>
        </w:tc>
        <w:tc>
          <w:tcPr>
            <w:tcW w:type="dxa" w:w="2200"/>
          </w:tcPr>
          <w:p>
            <w:r>
              <w:rPr>
                <w:b w:val="false"/>
                <w:bCs w:val="false"/>
                <w:sz w:val="19"/>
                <w:szCs w:val="19"/>
              </w:rPr>
              <w:t xml:space="preserve">47.6 GB</w:t>
            </w:r>
          </w:p>
        </w:tc>
        <w:tc>
          <w:tcPr>
            <w:tcW w:type="dxa" w:w="2800"/>
          </w:tcPr>
          <w:p>
            <w:r>
              <w:rPr>
                <w:b w:val="false"/>
                <w:bCs w:val="false"/>
                <w:sz w:val="19"/>
                <w:szCs w:val="19"/>
              </w:rPr>
              <w:t xml:space="preserve">4,203.79 samples/s</w:t>
            </w:r>
          </w:p>
        </w:tc>
      </w:tr>
      <w:tr>
        <w:tc>
          <w:tcPr>
            <w:tcW w:type="dxa" w:w="3200"/>
          </w:tcPr>
          <w:p>
            <w:r>
              <w:rPr>
                <w:b w:val="false"/>
                <w:bCs w:val="false"/>
                <w:sz w:val="19"/>
                <w:szCs w:val="19"/>
              </w:rPr>
              <w:t xml:space="preserve">FEM (own ceiling)</w:t>
            </w:r>
          </w:p>
        </w:tc>
        <w:tc>
          <w:tcPr>
            <w:tcW w:type="dxa" w:w="2200"/>
          </w:tcPr>
          <w:p>
            <w:r>
              <w:rPr>
                <w:b w:val="false"/>
                <w:bCs w:val="false"/>
                <w:sz w:val="19"/>
                <w:szCs w:val="19"/>
              </w:rPr>
              <w:t xml:space="preserve">256</w:t>
            </w:r>
          </w:p>
        </w:tc>
        <w:tc>
          <w:tcPr>
            <w:tcW w:type="dxa" w:w="2200"/>
          </w:tcPr>
          <w:p>
            <w:r>
              <w:rPr>
                <w:b w:val="false"/>
                <w:bCs w:val="false"/>
                <w:sz w:val="19"/>
                <w:szCs w:val="19"/>
              </w:rPr>
              <w:t xml:space="preserve">38.7 GB</w:t>
            </w:r>
          </w:p>
        </w:tc>
        <w:tc>
          <w:tcPr>
            <w:tcW w:type="dxa" w:w="2800"/>
          </w:tcPr>
          <w:p>
            <w:r>
              <w:rPr>
                <w:b w:val="false"/>
                <w:bCs w:val="false"/>
                <w:sz w:val="19"/>
                <w:szCs w:val="19"/>
              </w:rPr>
              <w:t xml:space="preserve">2.86 samples/s</w:t>
            </w:r>
          </w:p>
        </w:tc>
      </w:tr>
      <w:tr>
        <w:tc>
          <w:tcPr>
            <w:tcW w:type="dxa" w:w="3200"/>
          </w:tcPr>
          <w:p>
            <w:r>
              <w:rPr>
                <w:b w:val="false"/>
                <w:bCs w:val="false"/>
                <w:sz w:val="19"/>
                <w:szCs w:val="19"/>
              </w:rPr>
              <w:t xml:space="preserve">FEM (capped at NO's 47.6 GB)</w:t>
            </w:r>
          </w:p>
        </w:tc>
        <w:tc>
          <w:tcPr>
            <w:tcW w:type="dxa" w:w="2200"/>
          </w:tcPr>
          <w:p>
            <w:r>
              <w:rPr>
                <w:b w:val="false"/>
                <w:bCs w:val="false"/>
                <w:sz w:val="19"/>
                <w:szCs w:val="19"/>
              </w:rPr>
              <w:t xml:space="preserve">256</w:t>
            </w:r>
          </w:p>
        </w:tc>
        <w:tc>
          <w:tcPr>
            <w:tcW w:type="dxa" w:w="2200"/>
          </w:tcPr>
          <w:p>
            <w:r>
              <w:rPr>
                <w:b w:val="false"/>
                <w:bCs w:val="false"/>
                <w:sz w:val="19"/>
                <w:szCs w:val="19"/>
              </w:rPr>
              <w:t xml:space="preserve">38.7 GB</w:t>
            </w:r>
          </w:p>
        </w:tc>
        <w:tc>
          <w:tcPr>
            <w:tcW w:type="dxa" w:w="2800"/>
          </w:tcPr>
          <w:p>
            <w:r>
              <w:rPr>
                <w:b w:val="false"/>
                <w:bCs w:val="false"/>
                <w:sz w:val="19"/>
                <w:szCs w:val="19"/>
              </w:rPr>
              <w:t xml:space="preserve">2.86 samples/s</w:t>
            </w:r>
          </w:p>
        </w:tc>
      </w:tr>
      <w:tr>
        <w:tc>
          <w:tcPr>
            <w:tcW w:type="dxa" w:w="3200"/>
          </w:tcPr>
          <w:p>
            <w:r>
              <w:rPr>
                <w:b w:val="false"/>
                <w:bCs w:val="false"/>
                <w:sz w:val="19"/>
                <w:szCs w:val="19"/>
              </w:rPr>
              <w:t xml:space="preserve">NO (capped at FEM's 38.7 GB)</w:t>
            </w:r>
          </w:p>
        </w:tc>
        <w:tc>
          <w:tcPr>
            <w:tcW w:type="dxa" w:w="2200"/>
          </w:tcPr>
          <w:p>
            <w:r>
              <w:rPr>
                <w:b w:val="false"/>
                <w:bCs w:val="false"/>
                <w:sz w:val="19"/>
                <w:szCs w:val="19"/>
              </w:rPr>
              <w:t xml:space="preserve">4,096</w:t>
            </w:r>
          </w:p>
        </w:tc>
        <w:tc>
          <w:tcPr>
            <w:tcW w:type="dxa" w:w="2200"/>
          </w:tcPr>
          <w:p>
            <w:r>
              <w:rPr>
                <w:b w:val="false"/>
                <w:bCs w:val="false"/>
                <w:sz w:val="19"/>
                <w:szCs w:val="19"/>
              </w:rPr>
              <w:t xml:space="preserve">23.8 GB</w:t>
            </w:r>
          </w:p>
        </w:tc>
        <w:tc>
          <w:tcPr>
            <w:tcW w:type="dxa" w:w="2800"/>
          </w:tcPr>
          <w:p>
            <w:r>
              <w:rPr>
                <w:b w:val="false"/>
                <w:bCs w:val="false"/>
                <w:sz w:val="19"/>
                <w:szCs w:val="19"/>
              </w:rPr>
              <w:t xml:space="preserve">4,207.75 samples/s</w:t>
            </w:r>
          </w:p>
        </w:tc>
      </w:tr>
    </w:tbl>
    <w:p>
      <w:pPr>
        <w:spacing w:after="260"/>
      </w:pPr>
      <w:r>
        <w:rPr>
          <w:i/>
          <w:iCs/>
          <w:sz w:val="18"/>
          <w:szCs w:val="18"/>
        </w:rPr>
        <w:t xml:space="preserve">Table 2. Max feasible batch size and throughput, NO vs. native FEM, same GPU, corrected checkpoint.</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43225"/>
                    </a:xfrm>
                    <a:prstGeom prst="rect">
                      <a:avLst/>
                    </a:prstGeom>
                  </pic:spPr>
                </pic:pic>
              </a:graphicData>
            </a:graphic>
          </wp:inline>
        </w:drawing>
      </w:r>
    </w:p>
    <w:p>
      <w:pPr>
        <w:spacing w:after="260"/>
      </w:pPr>
      <w:r>
        <w:rPr>
          <w:i/>
          <w:iCs/>
          <w:sz w:val="18"/>
          <w:szCs w:val="18"/>
        </w:rPr>
        <w:t xml:space="preserve">Figure 2. Throughput and peak memory vs. batch size, NO vs. FEM, own memory ceilings.</w:t>
      </w:r>
    </w:p>
    <w:p>
      <w:pPr>
        <w:spacing w:after="160"/>
      </w:pPr>
      <w:r>
        <w:t xml:space="preserve">Peak throughput favors the NO by roughly 1,470x regardless of which memory budget is used to cap it — FEM's own ceiling is already below its saturation point, so giving it more memory (matching the NO's own 47.6 GB) changes nothing, while the NO barely gives anything up when capped down to FEM's much smaller 38.7 GB (4,207.75 vs. 4,203.79 samples/s). Batching helps the NO substantially (throughput rises ~20x from bs=1 to its own ceiling) while FEM barely benefits (~5x) — matching your own stated expectation directly. Re-measured with the corrected checkpoint and confirmed essentially identical to the original run — resolved, checkpoint-independent as expected.</w:t>
      </w:r>
    </w:p>
    <w:p>
      <w:pPr>
        <w:pStyle w:val="Heading2"/>
        <w:spacing w:after="150" w:before="300"/>
      </w:pPr>
      <w:r>
        <w:t xml:space="preserve">3. NO inference optimization and profiling</w:t>
      </w:r>
    </w:p>
    <w:p>
      <w:pPr>
        <w:spacing w:after="160"/>
      </w:pPr>
      <w:r>
        <w:t xml:space="preserve">Pure GPU forward-pass time after warm-up (excluding data transfer/preprocessing), fp32, batch size 1, N=1401: 2,290 ms/sample. Peak GPU memory: 23.16 GB — notably higher than our own GPU-FEM solver's peak memory at the same N (15.6-20.5 GB), so the NO is not the more memory-frugal option here either. Profiler breakdown: ~67% of time in batched matmuls (the slice-based attention operating on ~2M mesh nodes), ~22% in the MLP layers — the cost is in genuine core compute at this token count, not an obvious inefficiency.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200"/>
      </w:tblGrid>
      <w:tr>
        <w:tc>
          <w:tcPr>
            <w:tcW w:type="dxa" w:w="2600"/>
            <w:shd w:fill="DDDDDD" w:val="clear"/>
          </w:tcPr>
          <w:p>
            <w:r>
              <w:rPr>
                <w:b/>
                <w:bCs/>
                <w:sz w:val="19"/>
                <w:szCs w:val="19"/>
              </w:rPr>
              <w:t xml:space="preserve">Variant</w:t>
            </w:r>
          </w:p>
        </w:tc>
        <w:tc>
          <w:tcPr>
            <w:tcW w:type="dxa" w:w="2200"/>
            <w:shd w:fill="DDDDDD" w:val="clear"/>
          </w:tcPr>
          <w:p>
            <w:r>
              <w:rPr>
                <w:b/>
                <w:bCs/>
                <w:sz w:val="19"/>
                <w:szCs w:val="19"/>
              </w:rPr>
              <w:t xml:space="preserve">ms/sample</w:t>
            </w:r>
          </w:p>
        </w:tc>
        <w:tc>
          <w:tcPr>
            <w:tcW w:type="dxa" w:w="2400"/>
            <w:shd w:fill="DDDDDD" w:val="clear"/>
          </w:tcPr>
          <w:p>
            <w:r>
              <w:rPr>
                <w:b/>
                <w:bCs/>
                <w:sz w:val="19"/>
                <w:szCs w:val="19"/>
              </w:rPr>
              <w:t xml:space="preserve">Speedup vs. eager</w:t>
            </w:r>
          </w:p>
        </w:tc>
        <w:tc>
          <w:tcPr>
            <w:tcW w:type="dxa" w:w="2200"/>
            <w:shd w:fill="DDDDDD" w:val="clear"/>
          </w:tcPr>
          <w:p>
            <w:r>
              <w:rPr>
                <w:b/>
                <w:bCs/>
                <w:sz w:val="19"/>
                <w:szCs w:val="19"/>
              </w:rPr>
              <w:t xml:space="preserve">Output diff vs. eager</w:t>
            </w:r>
          </w:p>
        </w:tc>
      </w:tr>
      <w:tr>
        <w:tc>
          <w:tcPr>
            <w:tcW w:type="dxa" w:w="2600"/>
          </w:tcPr>
          <w:p>
            <w:r>
              <w:rPr>
                <w:b w:val="false"/>
                <w:bCs w:val="false"/>
                <w:sz w:val="19"/>
                <w:szCs w:val="19"/>
              </w:rPr>
              <w:t xml:space="preserve">eager (fp32)</w:t>
            </w:r>
          </w:p>
        </w:tc>
        <w:tc>
          <w:tcPr>
            <w:tcW w:type="dxa" w:w="2200"/>
          </w:tcPr>
          <w:p>
            <w:r>
              <w:rPr>
                <w:b w:val="false"/>
                <w:bCs w:val="false"/>
                <w:sz w:val="19"/>
                <w:szCs w:val="19"/>
              </w:rPr>
              <w:t xml:space="preserve">2,292.1</w:t>
            </w:r>
          </w:p>
        </w:tc>
        <w:tc>
          <w:tcPr>
            <w:tcW w:type="dxa" w:w="2400"/>
          </w:tcPr>
          <w:p>
            <w:r>
              <w:rPr>
                <w:b w:val="false"/>
                <w:bCs w:val="false"/>
                <w:sz w:val="19"/>
                <w:szCs w:val="19"/>
              </w:rPr>
              <w:t xml:space="preserve">1.00x</w:t>
            </w:r>
          </w:p>
        </w:tc>
        <w:tc>
          <w:tcPr>
            <w:tcW w:type="dxa" w:w="2200"/>
          </w:tcPr>
          <w:p>
            <w:r>
              <w:rPr>
                <w:b w:val="false"/>
                <w:bCs w:val="false"/>
                <w:sz w:val="19"/>
                <w:szCs w:val="19"/>
              </w:rPr>
              <w:t xml:space="preserve">—</w:t>
            </w:r>
          </w:p>
        </w:tc>
      </w:tr>
      <w:tr>
        <w:tc>
          <w:tcPr>
            <w:tcW w:type="dxa" w:w="2600"/>
          </w:tcPr>
          <w:p>
            <w:r>
              <w:rPr>
                <w:b w:val="false"/>
                <w:bCs w:val="false"/>
                <w:sz w:val="19"/>
                <w:szCs w:val="19"/>
              </w:rPr>
              <w:t xml:space="preserve">torch.compile</w:t>
            </w:r>
          </w:p>
        </w:tc>
        <w:tc>
          <w:tcPr>
            <w:tcW w:type="dxa" w:w="2200"/>
          </w:tcPr>
          <w:p>
            <w:r>
              <w:rPr>
                <w:b w:val="false"/>
                <w:bCs w:val="false"/>
                <w:sz w:val="19"/>
                <w:szCs w:val="19"/>
              </w:rPr>
              <w:t xml:space="preserve">2,145.1</w:t>
            </w:r>
          </w:p>
        </w:tc>
        <w:tc>
          <w:tcPr>
            <w:tcW w:type="dxa" w:w="2400"/>
          </w:tcPr>
          <w:p>
            <w:r>
              <w:rPr>
                <w:b w:val="false"/>
                <w:bCs w:val="false"/>
                <w:sz w:val="19"/>
                <w:szCs w:val="19"/>
              </w:rPr>
              <w:t xml:space="preserve">1.07x</w:t>
            </w:r>
          </w:p>
        </w:tc>
        <w:tc>
          <w:tcPr>
            <w:tcW w:type="dxa" w:w="2200"/>
          </w:tcPr>
          <w:p>
            <w:r>
              <w:rPr>
                <w:b w:val="false"/>
                <w:bCs w:val="false"/>
                <w:sz w:val="19"/>
                <w:szCs w:val="19"/>
              </w:rPr>
              <w:t xml:space="preserve">6.0e-7</w:t>
            </w:r>
          </w:p>
        </w:tc>
      </w:tr>
      <w:tr>
        <w:tc>
          <w:tcPr>
            <w:tcW w:type="dxa" w:w="2600"/>
          </w:tcPr>
          <w:p>
            <w:r>
              <w:rPr>
                <w:b w:val="false"/>
                <w:bCs w:val="false"/>
                <w:sz w:val="19"/>
                <w:szCs w:val="19"/>
              </w:rPr>
              <w:t xml:space="preserve">eager + TF32</w:t>
            </w:r>
          </w:p>
        </w:tc>
        <w:tc>
          <w:tcPr>
            <w:tcW w:type="dxa" w:w="2200"/>
          </w:tcPr>
          <w:p>
            <w:r>
              <w:rPr>
                <w:b w:val="false"/>
                <w:bCs w:val="false"/>
                <w:sz w:val="19"/>
                <w:szCs w:val="19"/>
              </w:rPr>
              <w:t xml:space="preserve">491.2</w:t>
            </w:r>
          </w:p>
        </w:tc>
        <w:tc>
          <w:tcPr>
            <w:tcW w:type="dxa" w:w="2400"/>
          </w:tcPr>
          <w:p>
            <w:r>
              <w:rPr>
                <w:b w:val="false"/>
                <w:bCs w:val="false"/>
                <w:sz w:val="19"/>
                <w:szCs w:val="19"/>
              </w:rPr>
              <w:t xml:space="preserve">4.67x</w:t>
            </w:r>
          </w:p>
        </w:tc>
        <w:tc>
          <w:tcPr>
            <w:tcW w:type="dxa" w:w="2200"/>
          </w:tcPr>
          <w:p>
            <w:r>
              <w:rPr>
                <w:b w:val="false"/>
                <w:bCs w:val="false"/>
                <w:sz w:val="19"/>
                <w:szCs w:val="19"/>
              </w:rPr>
              <w:t xml:space="preserve">3.2e-3</w:t>
            </w:r>
          </w:p>
        </w:tc>
      </w:tr>
      <w:tr>
        <w:tc>
          <w:tcPr>
            <w:tcW w:type="dxa" w:w="2600"/>
          </w:tcPr>
          <w:p>
            <w:r>
              <w:rPr>
                <w:b w:val="false"/>
                <w:bCs w:val="false"/>
                <w:sz w:val="19"/>
                <w:szCs w:val="19"/>
              </w:rPr>
              <w:t xml:space="preserve">compile + TF32</w:t>
            </w:r>
          </w:p>
        </w:tc>
        <w:tc>
          <w:tcPr>
            <w:tcW w:type="dxa" w:w="2200"/>
          </w:tcPr>
          <w:p>
            <w:r>
              <w:rPr>
                <w:b w:val="false"/>
                <w:bCs w:val="false"/>
                <w:sz w:val="19"/>
                <w:szCs w:val="19"/>
              </w:rPr>
              <w:t xml:space="preserve">394.0</w:t>
            </w:r>
          </w:p>
        </w:tc>
        <w:tc>
          <w:tcPr>
            <w:tcW w:type="dxa" w:w="2400"/>
          </w:tcPr>
          <w:p>
            <w:r>
              <w:rPr>
                <w:b w:val="false"/>
                <w:bCs w:val="false"/>
                <w:sz w:val="19"/>
                <w:szCs w:val="19"/>
              </w:rPr>
              <w:t xml:space="preserve">5.82x</w:t>
            </w:r>
          </w:p>
        </w:tc>
        <w:tc>
          <w:tcPr>
            <w:tcW w:type="dxa" w:w="2200"/>
          </w:tcPr>
          <w:p>
            <w:r>
              <w:rPr>
                <w:b w:val="false"/>
                <w:bCs w:val="false"/>
                <w:sz w:val="19"/>
                <w:szCs w:val="19"/>
              </w:rPr>
              <w:t xml:space="preserve">3.2e-3</w:t>
            </w:r>
          </w:p>
        </w:tc>
      </w:tr>
    </w:tbl>
    <w:p>
      <w:pPr>
        <w:spacing w:after="260"/>
      </w:pPr>
      <w:r>
        <w:rPr>
          <w:i/>
          <w:iCs/>
          <w:sz w:val="18"/>
          <w:szCs w:val="18"/>
        </w:rPr>
        <w:t xml:space="preserve">Table 3. Inference-speed optimization attempts, N=1401, batch size 1, correctness-checked against strict fp32 eager. Re-measured with the corrected checkpoint -- essentially identical to the original run, confirming timing/speedup is checkpoint-independent as expected.</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260"/>
      </w:pPr>
      <w:r>
        <w:rPr>
          <w:i/>
          <w:iCs/>
          <w:sz w:val="18"/>
          <w:szCs w:val="18"/>
        </w:rPr>
        <w:t xml:space="preserve">Figure 3. Same data as Table 3 (re-measured, corrected checkpoint).</w:t>
      </w:r>
    </w:p>
    <w:p>
      <w:pPr>
        <w:spacing w:after="160"/>
      </w:pPr>
      <w:r>
        <w:t xml:space="preserve">torch.compile alone gives 1.07x (correctness-checked, negligible output difference). Enabling TF32 matmul precision (Ampere tensor cores) gives 4.67x alone and 5.82x combined with torch.compile — the best result found, at a real but small accuracy cost (~3.2e-3 relative difference vs. strict fp32), checked directly rather than assumed.</w:t>
      </w:r>
    </w:p>
    <w:p>
      <w:pPr>
        <w:pStyle w:val="Heading2"/>
        <w:spacing w:after="150" w:before="300"/>
      </w:pPr>
      <w:r>
        <w:t xml:space="preserve">4. Complex-geometry example — one question before we commit training time</w:t>
      </w:r>
    </w:p>
    <w:p>
      <w:pPr>
        <w:spacing w:after="160"/>
      </w:pPr>
      <w:r>
        <w:t xml:space="preserve">Before spending real GPU-hours training a new checkpoint, we designed and verified a candidate with real, direct evidence rather than a hunch: extending our existing pressure-vessel-like ring case with a single smooth local notch (a Gaussian dimple) in the inner wall — still simply connected, no topology change, reusing our existing solver machinery.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c>
          <w:tcPr>
            <w:tcW w:type="dxa" w:w="3200"/>
            <w:shd w:fill="DDDDDD" w:val="clear"/>
          </w:tcPr>
          <w:p>
            <w:r>
              <w:rPr>
                <w:b/>
                <w:bCs/>
                <w:sz w:val="19"/>
                <w:szCs w:val="19"/>
              </w:rPr>
              <w:t xml:space="preserve">Mesh resolution (elements)</w:t>
            </w:r>
          </w:p>
        </w:tc>
        <w:tc>
          <w:tcPr>
            <w:tcW w:type="dxa" w:w="3200"/>
            <w:shd w:fill="DDDDDD" w:val="clear"/>
          </w:tcPr>
          <w:p>
            <w:r>
              <w:rPr>
                <w:b/>
                <w:bCs/>
                <w:sz w:val="19"/>
                <w:szCs w:val="19"/>
              </w:rPr>
              <w:t xml:space="preserve">Peak PK1 stress at notch</w:t>
            </w:r>
          </w:p>
        </w:tc>
        <w:tc>
          <w:tcPr>
            <w:tcW w:type="dxa" w:w="3000"/>
            <w:shd w:fill="DDDDDD" w:val="clear"/>
          </w:tcPr>
          <w:p>
            <w:r>
              <w:rPr>
                <w:b/>
                <w:bCs/>
                <w:sz w:val="19"/>
                <w:szCs w:val="19"/>
              </w:rPr>
              <w:t xml:space="preserve">Max displacement</w:t>
            </w:r>
          </w:p>
        </w:tc>
      </w:tr>
      <w:tr>
        <w:tc>
          <w:tcPr>
            <w:tcW w:type="dxa" w:w="3200"/>
          </w:tcPr>
          <w:p>
            <w:r>
              <w:rPr>
                <w:b w:val="false"/>
                <w:bCs w:val="false"/>
                <w:sz w:val="19"/>
                <w:szCs w:val="19"/>
              </w:rPr>
              <w:t xml:space="preserve">72</w:t>
            </w:r>
          </w:p>
        </w:tc>
        <w:tc>
          <w:tcPr>
            <w:tcW w:type="dxa" w:w="3200"/>
          </w:tcPr>
          <w:p>
            <w:r>
              <w:rPr>
                <w:b w:val="false"/>
                <w:bCs w:val="false"/>
                <w:sz w:val="19"/>
                <w:szCs w:val="19"/>
              </w:rPr>
              <w:t xml:space="preserve">11.70</w:t>
            </w:r>
          </w:p>
        </w:tc>
        <w:tc>
          <w:tcPr>
            <w:tcW w:type="dxa" w:w="3000"/>
          </w:tcPr>
          <w:p>
            <w:r>
              <w:rPr>
                <w:b w:val="false"/>
                <w:bCs w:val="false"/>
                <w:sz w:val="19"/>
                <w:szCs w:val="19"/>
              </w:rPr>
              <w:t xml:space="preserve">0.008193</w:t>
            </w:r>
          </w:p>
        </w:tc>
      </w:tr>
      <w:tr>
        <w:tc>
          <w:tcPr>
            <w:tcW w:type="dxa" w:w="3200"/>
          </w:tcPr>
          <w:p>
            <w:r>
              <w:rPr>
                <w:b w:val="false"/>
                <w:bCs w:val="false"/>
                <w:sz w:val="19"/>
                <w:szCs w:val="19"/>
              </w:rPr>
              <w:t xml:space="preserve">288</w:t>
            </w:r>
          </w:p>
        </w:tc>
        <w:tc>
          <w:tcPr>
            <w:tcW w:type="dxa" w:w="3200"/>
          </w:tcPr>
          <w:p>
            <w:r>
              <w:rPr>
                <w:b w:val="false"/>
                <w:bCs w:val="false"/>
                <w:sz w:val="19"/>
                <w:szCs w:val="19"/>
              </w:rPr>
              <w:t xml:space="preserve">12.72</w:t>
            </w:r>
          </w:p>
        </w:tc>
        <w:tc>
          <w:tcPr>
            <w:tcW w:type="dxa" w:w="3000"/>
          </w:tcPr>
          <w:p>
            <w:r>
              <w:rPr>
                <w:b w:val="false"/>
                <w:bCs w:val="false"/>
                <w:sz w:val="19"/>
                <w:szCs w:val="19"/>
              </w:rPr>
              <w:t xml:space="preserve">0.008384</w:t>
            </w:r>
          </w:p>
        </w:tc>
      </w:tr>
      <w:tr>
        <w:tc>
          <w:tcPr>
            <w:tcW w:type="dxa" w:w="3200"/>
          </w:tcPr>
          <w:p>
            <w:r>
              <w:rPr>
                <w:b w:val="false"/>
                <w:bCs w:val="false"/>
                <w:sz w:val="19"/>
                <w:szCs w:val="19"/>
              </w:rPr>
              <w:t xml:space="preserve">1,152</w:t>
            </w:r>
          </w:p>
        </w:tc>
        <w:tc>
          <w:tcPr>
            <w:tcW w:type="dxa" w:w="3200"/>
          </w:tcPr>
          <w:p>
            <w:r>
              <w:rPr>
                <w:b w:val="false"/>
                <w:bCs w:val="false"/>
                <w:sz w:val="19"/>
                <w:szCs w:val="19"/>
              </w:rPr>
              <w:t xml:space="preserve">13.45</w:t>
            </w:r>
          </w:p>
        </w:tc>
        <w:tc>
          <w:tcPr>
            <w:tcW w:type="dxa" w:w="3000"/>
          </w:tcPr>
          <w:p>
            <w:r>
              <w:rPr>
                <w:b w:val="false"/>
                <w:bCs w:val="false"/>
                <w:sz w:val="19"/>
                <w:szCs w:val="19"/>
              </w:rPr>
              <w:t xml:space="preserve">0.008455</w:t>
            </w:r>
          </w:p>
        </w:tc>
      </w:tr>
      <w:tr>
        <w:tc>
          <w:tcPr>
            <w:tcW w:type="dxa" w:w="3200"/>
          </w:tcPr>
          <w:p>
            <w:r>
              <w:rPr>
                <w:b w:val="false"/>
                <w:bCs w:val="false"/>
                <w:sz w:val="19"/>
                <w:szCs w:val="19"/>
              </w:rPr>
              <w:t xml:space="preserve">4,608</w:t>
            </w:r>
          </w:p>
        </w:tc>
        <w:tc>
          <w:tcPr>
            <w:tcW w:type="dxa" w:w="3200"/>
          </w:tcPr>
          <w:p>
            <w:r>
              <w:rPr>
                <w:b w:val="false"/>
                <w:bCs w:val="false"/>
                <w:sz w:val="19"/>
                <w:szCs w:val="19"/>
              </w:rPr>
              <w:t xml:space="preserve">13.94 (+3.7%, still rising)</w:t>
            </w:r>
          </w:p>
        </w:tc>
        <w:tc>
          <w:tcPr>
            <w:tcW w:type="dxa" w:w="3000"/>
          </w:tcPr>
          <w:p>
            <w:r>
              <w:rPr>
                <w:b w:val="false"/>
                <w:bCs w:val="false"/>
                <w:sz w:val="19"/>
                <w:szCs w:val="19"/>
              </w:rPr>
              <w:t xml:space="preserve">0.008478 (+0.27%, essentially flat)</w:t>
            </w:r>
          </w:p>
        </w:tc>
      </w:tr>
    </w:tbl>
    <w:p>
      <w:pPr>
        <w:spacing w:after="260"/>
      </w:pPr>
      <w:r>
        <w:rPr>
          <w:i/>
          <w:iCs/>
          <w:sz w:val="18"/>
          <w:szCs w:val="18"/>
        </w:rPr>
        <w:t xml:space="preserve">Table 4. B7 (ring + local notch) mesh-convergence check: peak stress vs. global displacement.</w:t>
      </w:r>
    </w:p>
    <w:p>
      <w:pPr>
        <w:spacing w:after="160"/>
      </w:pPr>
      <w:r>
        <w:t xml:space="preserve">The peak stress at the notch is still rising while the global displacement field is essentially flat — the specific signature you described of a globally-converged field hiding an under-resolved local quantity.</w:t>
      </w:r>
    </w:p>
    <w:p>
      <w:pPr>
        <w:spacing w:after="160"/>
      </w:pPr>
      <w:r>
        <w:t xml:space="preserve">Before training a full model on this, we wanted to check with you directly: does this count as an acceptable instance of your "pressure vessel with local details" suggestion, or would you prefer we pursue a different example instead?</w:t>
      </w:r>
    </w:p>
    <w:p>
      <w:pPr>
        <w:pStyle w:val="Heading2"/>
        <w:spacing w:after="150" w:before="300"/>
      </w:pPr>
      <w:r>
        <w:t xml:space="preserve">5. Break-even analysis</w:t>
      </w:r>
    </w:p>
    <w:p>
      <w:pPr>
        <w:spacing w:after="160"/>
      </w:pPr>
      <w:r>
        <w:t xml:space="preserve">Using the retrained checkpoint's own coarsest-suitable FEM at N=1401 (N=11, from the crossover above) against the NO's real inference cost there, and the real training wall-clock for the retrained checkpoint (41,881s, ~11.6h — confirmed from its own training log; it stopped itself via early stopping, 8 checks with no improvement, exactly as configured):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3400"/>
      </w:tblGrid>
      <w:tr>
        <w:tc>
          <w:tcPr>
            <w:tcW w:type="dxa" w:w="2600"/>
            <w:shd w:fill="DDDDDD" w:val="clear"/>
          </w:tcPr>
          <w:p>
            <w:r>
              <w:rPr>
                <w:b/>
                <w:bCs/>
                <w:sz w:val="19"/>
                <w:szCs w:val="19"/>
              </w:rPr>
              <w:t xml:space="preserve">NO inference mode</w:t>
            </w:r>
          </w:p>
        </w:tc>
        <w:tc>
          <w:tcPr>
            <w:tcW w:type="dxa" w:w="2200"/>
            <w:shd w:fill="DDDDDD" w:val="clear"/>
          </w:tcPr>
          <w:p>
            <w:r>
              <w:rPr>
                <w:b/>
                <w:bCs/>
                <w:sz w:val="19"/>
                <w:szCs w:val="19"/>
              </w:rPr>
              <w:t xml:space="preserve">ms/sample @ N=1401</w:t>
            </w:r>
          </w:p>
        </w:tc>
        <w:tc>
          <w:tcPr>
            <w:tcW w:type="dxa" w:w="2400"/>
            <w:shd w:fill="DDDDDD" w:val="clear"/>
          </w:tcPr>
          <w:p>
            <w:r>
              <w:rPr>
                <w:b/>
                <w:bCs/>
                <w:sz w:val="19"/>
                <w:szCs w:val="19"/>
              </w:rPr>
              <w:t xml:space="preserve">vs. FEM@N=11 (1,625.6 ms)</w:t>
            </w:r>
          </w:p>
        </w:tc>
        <w:tc>
          <w:tcPr>
            <w:tcW w:type="dxa" w:w="3400"/>
            <w:shd w:fill="DDDDDD" w:val="clear"/>
          </w:tcPr>
          <w:p>
            <w:r>
              <w:rPr>
                <w:b/>
                <w:bCs/>
                <w:sz w:val="19"/>
                <w:szCs w:val="19"/>
              </w:rPr>
              <w:t xml:space="preserve">Break-even</w:t>
            </w:r>
          </w:p>
        </w:tc>
      </w:tr>
      <w:tr>
        <w:tc>
          <w:tcPr>
            <w:tcW w:type="dxa" w:w="2600"/>
          </w:tcPr>
          <w:p>
            <w:r>
              <w:rPr>
                <w:b w:val="false"/>
                <w:bCs w:val="false"/>
                <w:sz w:val="19"/>
                <w:szCs w:val="19"/>
              </w:rPr>
              <w:t xml:space="preserve">eager fp32 (default)</w:t>
            </w:r>
          </w:p>
        </w:tc>
        <w:tc>
          <w:tcPr>
            <w:tcW w:type="dxa" w:w="2200"/>
          </w:tcPr>
          <w:p>
            <w:r>
              <w:rPr>
                <w:b w:val="false"/>
                <w:bCs w:val="false"/>
                <w:sz w:val="19"/>
                <w:szCs w:val="19"/>
              </w:rPr>
              <w:t xml:space="preserve">2,292.1</w:t>
            </w:r>
          </w:p>
        </w:tc>
        <w:tc>
          <w:tcPr>
            <w:tcW w:type="dxa" w:w="2400"/>
          </w:tcPr>
          <w:p>
            <w:r>
              <w:rPr>
                <w:b w:val="false"/>
                <w:bCs w:val="false"/>
                <w:sz w:val="19"/>
                <w:szCs w:val="19"/>
              </w:rPr>
              <w:t xml:space="preserve">0.71x (slower)</w:t>
            </w:r>
          </w:p>
        </w:tc>
        <w:tc>
          <w:tcPr>
            <w:tcW w:type="dxa" w:w="3400"/>
          </w:tcPr>
          <w:p>
            <w:r>
              <w:rPr>
                <w:b w:val="false"/>
                <w:bCs w:val="false"/>
                <w:sz w:val="19"/>
                <w:szCs w:val="19"/>
              </w:rPr>
              <w:t xml:space="preserve">Never -- accuracy-matched FEM already cheaper</w:t>
            </w:r>
          </w:p>
        </w:tc>
      </w:tr>
      <w:tr>
        <w:tc>
          <w:tcPr>
            <w:tcW w:type="dxa" w:w="2600"/>
          </w:tcPr>
          <w:p>
            <w:r>
              <w:rPr>
                <w:b w:val="false"/>
                <w:bCs w:val="false"/>
                <w:sz w:val="19"/>
                <w:szCs w:val="19"/>
              </w:rPr>
              <w:t xml:space="preserve">compile + TF32</w:t>
            </w:r>
          </w:p>
        </w:tc>
        <w:tc>
          <w:tcPr>
            <w:tcW w:type="dxa" w:w="2200"/>
          </w:tcPr>
          <w:p>
            <w:r>
              <w:rPr>
                <w:b w:val="false"/>
                <w:bCs w:val="false"/>
                <w:sz w:val="19"/>
                <w:szCs w:val="19"/>
              </w:rPr>
              <w:t xml:space="preserve">394.0</w:t>
            </w:r>
          </w:p>
        </w:tc>
        <w:tc>
          <w:tcPr>
            <w:tcW w:type="dxa" w:w="2400"/>
          </w:tcPr>
          <w:p>
            <w:r>
              <w:rPr>
                <w:b w:val="false"/>
                <w:bCs w:val="false"/>
                <w:sz w:val="19"/>
                <w:szCs w:val="19"/>
              </w:rPr>
              <w:t xml:space="preserve">4.13x (faster)</w:t>
            </w:r>
          </w:p>
        </w:tc>
        <w:tc>
          <w:tcPr>
            <w:tcW w:type="dxa" w:w="3400"/>
          </w:tcPr>
          <w:p>
            <w:r>
              <w:rPr>
                <w:b w:val="false"/>
                <w:bCs w:val="false"/>
                <w:sz w:val="19"/>
                <w:szCs w:val="19"/>
              </w:rPr>
              <w:t xml:space="preserve">After 34,005 samples (~3.72 GPU-hours)</w:t>
            </w:r>
          </w:p>
        </w:tc>
      </w:tr>
    </w:tbl>
    <w:p>
      <w:pPr>
        <w:spacing w:after="260"/>
      </w:pPr>
      <w:r>
        <w:rPr>
          <w:i/>
          <w:iCs/>
          <w:sz w:val="18"/>
          <w:szCs w:val="18"/>
        </w:rPr>
        <w:t xml:space="preserve">Table 5. Accuracy-matched break-even: NO@N=1401 vs. torch-fem@N=11 (coarsest suitable FEM for the retrained checkpoint).</w:t>
      </w:r>
    </w:p>
    <w:p>
      <w:pPr>
        <w:spacing w:after="160"/>
      </w:pPr>
      <w:r>
        <w:t xml:space="preserve">This is the one place in the whole investigation where the NO's default (unoptimized) deployment mode does not come out ahead: run naively, it never repays its own training cost against a FEM mesh that is only as accurate as it needs to be. With the inference optimizations from point 3 (torch.compile + TF32, already verified, ~3.2e-3 relative accuracy cost), it both wins per-sample (4.13x) and repays its training cost cheaply — about 3.72 GPU-hours against 11.6 GPU-hours of training. We think the honest framing is that the operator's economic case depends on deploying it with these optimizations, not on its default settings.</w:t>
      </w:r>
    </w:p>
    <w:p>
      <w:pPr>
        <w:spacing w:after="160"/>
      </w:pPr>
      <w:r>
        <w:t xml:space="preserve"/>
      </w:r>
    </w:p>
    <w:p>
      <w:pPr>
        <w:spacing w:after="160"/>
      </w:pPr>
      <w:r>
        <w:t xml:space="preserve">Let me know if the framing above looks right, particularly on point 1's stress-singularity caveat, point 4's design question, and point 5's "only pays off with optimized inference" framing.</w:t>
      </w:r>
    </w:p>
    <w:p>
      <w:pPr>
        <w:spacing w:after="160"/>
      </w:pPr>
      <w:r>
        <w:t xml:space="preserve"/>
      </w:r>
    </w:p>
    <w:p>
      <w:pPr>
        <w:spacing w:after="160"/>
      </w:pPr>
      <w:r>
        <w:t xml:space="preserve">Best regards,</w:t>
      </w:r>
    </w:p>
    <w:p>
      <w:pPr>
        <w:spacing w:after="160"/>
      </w:pPr>
      <w:r>
        <w:t xml:space="preserve">Omar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784de2e6cbaa8f16b18cef270cfcbf7bada2b2.png"/><Relationship Id="rId8" Type="http://schemas.openxmlformats.org/officeDocument/2006/relationships/image" Target="media/d353507cc86f97f240553012eccc1995e019eeb2.png"/><Relationship Id="rId9" Type="http://schemas.openxmlformats.org/officeDocument/2006/relationships/image" Target="media/a78090b7c393c84554c87229e77e35acb605dc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2026-09-14T01:00:15.500Z</dcterms:created>
  <dcterms:modified xsi:type="dcterms:W3CDTF">2026-09-14T01:00:15.501Z</dcterms:modified>
</cp:coreProperties>
</file>

<file path=docProps/custom.xml><?xml version="1.0" encoding="utf-8"?>
<Properties xmlns="http://schemas.openxmlformats.org/officeDocument/2006/custom-properties" xmlns:vt="http://schemas.openxmlformats.org/officeDocument/2006/docPropsVTypes"/>
</file>