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a validated FEM mesh-convergence stage with a GPU mesh-convergence study; and (B) a tire sector -- a torus segment, not a straight extrusion -- prepared as a deliberately lightweight preliminary alternative (geometry, boundary conditions, a solve, and a basic convergence check only, not yet brought to the same validated mesh-convergence stage as B3). Dataset generation and neural-operator training have not started for either candidate; that step depends on this choice.</w:t>
      </w:r>
    </w:p>
    <w:p>
      <w:pPr>
        <w:pStyle w:val="Heading2"/>
      </w:pPr>
      <w:r>
        <w:t>11.1 Geometry refinement and design history</w:t>
      </w:r>
    </w:p>
    <w:p>
      <w:r>
        <w:rPr>
          <w:i w:val="0"/>
        </w:rPr>
        <w:t>B3's geometry went through two substantive revisions before reaching its current form, both identified through detailed review of the design.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fine reference, via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the resultant (Euclidean norm) of the reaction force vector (secondary, confirmed non-degenerate from real data, not assumed); and a fixed-region statistic on the sigma_xx component of the Cauchy stress tensor at the groove -- a volume-weighted regional average of sigma_xx and a regional 99th percentile of sigma_xx -- plus a separate full Cauchy-TENSOR relative field error over all stress components (see 11.2.1 for its own corrected methodology), with a reliability gate that reports the sigma_xx 99th percentile as "not reliable" below 20 quadrature-point samples rather than a misleading number from too few points.</w:t>
      </w:r>
    </w:p>
    <w:p>
      <w:r>
        <w:rPr>
          <w:i w:val="0"/>
        </w:rPr>
        <w:t>A GPU run (A100) solved two fine references to check whether the hardest QoI -- the fixed-region sigma_xx statistic -- had actually converged, not merely reached the largest mesh tried: 243,360 elements (81 x 40 x 79) and a new, finer 424,128-element mesh (97 x 48 x 95). The volume-weighted regional average of sigma_xx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resultant (Euclidean norm,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Regional average of sigma_xx (volume-weighted)</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Regional 99th percentile of sigma_xx (volume-weighted)</w:t>
            </w:r>
          </w:p>
        </w:tc>
        <w:tc>
          <w:tcPr>
            <w:tcW w:type="dxa" w:w="2340"/>
          </w:tcPr>
          <w:p>
            <w:r>
              <w:t>not reached</w:t>
            </w:r>
          </w:p>
        </w:tc>
        <w:tc>
          <w:tcPr>
            <w:tcW w:type="dxa" w:w="2340"/>
          </w:tcPr>
          <w:p>
            <w:r>
              <w:t>not reached</w:t>
            </w:r>
          </w:p>
        </w:tc>
        <w:tc>
          <w:tcPr>
            <w:tcW w:type="dxa" w:w="2340"/>
          </w:tcPr>
          <w:p>
            <w:r>
              <w:t>not reached</w:t>
            </w:r>
          </w:p>
        </w:tc>
      </w:tr>
      <w:tr>
        <w:tc>
          <w:tcPr>
            <w:tcW w:type="dxa" w:w="2340"/>
          </w:tcPr>
          <w:p>
            <w:r>
              <w:t>Cauchy-stress tensor field error (all components)</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the reaction-force resultant do not reach 1% within the tested range -- a disclosed limitation,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regional sigma_xx average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regional sigma_xx average's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 distributed outward pressure preload, applied over the entire outer boundary of the meridian cross-section (every node with r_local = R_tread_eff(theta) across the full theta range, i.e. every node not bonded to the bead). The meridian cross-section here is a SOLID volume from the bead to the tread surface, not a hollow shell with an internal cavity, so this preload is a boundary condition on the outer surface rather than a literal internal inflation pressure -- the term "inflation pressure" used in an earlier draft has been corrected accordingly. A second, additional, localized inward pressure is superposed within a window at the tread centerline (renamed from an earlier, inaccurate "contact patch" -- there is no ground-contact formulation here, no contact mechanics, no rigid ground surface). A solve smoke test confirms the rim stays exactly fixed, the rest of the tread bulges outward under the distributed preload alone as expected, the loaded window still moves net inward (the local load dominates the preload there), and the deformation is non-degenerate in all three directions, confirming the torus topology is genuinely three-dimensional.</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effects were identified and handled explicitly rather than reported without qualification: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physical rocking moment. The combined net reaction force (the distributed preload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validated, documented state -- B3 with a GPU-confirmed mesh-convergence study and a full required-resolution table; the tire sector as a working, but deliberately lightweight preliminary alternative. No dataset generation or neural-operator training has started for either candidate; that step depends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