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PFEM / Transolver Work Summary -- Round 14</w:t>
      </w:r>
    </w:p>
    <w:p>
      <w:r>
        <w:rPr>
          <w:i/>
        </w:rPr>
        <w:t>This round covers Timon's item 4 (design and build a new, harder, more realistic 3D example). Two candidates were prepared in parallel: a rocking rubber-mount bushing (B3), developed to a validated FEM mesh-convergence stage with a GPU-confirmed result, and a tire sector, prepared as a lightweight preliminary alternative. As with previous rounds, everything below is copied verbatim (same tables, same text) out of the now-updated cumulative Report (PFEM_Transolver_Report_2026-09-21e.docx) -- nothing summarized or re-derived. Dataset generation and neural-operator training have not started for either candidate; that step depends on Timon's choice between them.</w:t>
      </w:r>
    </w:p>
    <w:p>
      <w:pPr>
        <w:pStyle w:val="Heading1"/>
      </w:pPr>
      <w:r>
        <w:t>11. Third Benchmark Candidate (in progress): 3D Hyperelastic Rubber-Mount Bushing vs. Tire Sector</w:t>
      </w:r>
    </w:p>
    <w:p>
      <w:r>
        <w:rPr>
          <w:i w:val="0"/>
        </w:rPr>
        <w:t>Timon's item 4 asked for a new, harder, more realistic 3D example beyond the B1/B2 benchmark pair. Two candidates were prepared in parallel, to the same single-material (Neo-Hookean), no-contact scope, so Timon can choose between them before any expensive commitment: (A) a rocking elastomeric rubber-mount bushing ("B3"), developed to a validated FEM mesh-convergence stage with a GPU mesh-convergence study; and (B) a tire sector -- a torus segment, not a straight extrusion -- prepared as a deliberately lightweight preliminary alternative (geometry, boundary conditions, a solve, and a basic convergence check only, not yet brought to the same validated mesh-convergence stage as B3). Dataset generation and neural-operator training have not started for either candidate; that step depends on this choice.</w:t>
      </w:r>
    </w:p>
    <w:p>
      <w:pPr>
        <w:pStyle w:val="Heading2"/>
      </w:pPr>
      <w:r>
        <w:t>11.1 Geometry refinement and design history</w:t>
      </w:r>
    </w:p>
    <w:p>
      <w:r>
        <w:rPr>
          <w:i w:val="0"/>
        </w:rPr>
        <w:t>B3's geometry went through two substantive revisions before reaching its current form, both identified through detailed review of the design. The first draft was a thin plate with a circular hole under uniaxial tension -- rejected as both the wrong shape category (not the "rubber mount" character requested) and too simple a benchmark. The corrected design is an elastomeric bushing: a hollow rubber annulus bonded to a rigid outer housing (fixed) and a rigid inner core given a prescribed rocking rotation. The second correction addressed the source of the stress concentration itself: an initial fillet-terminated bond still carried a sharp bonded-to-free boundary-condition discontinuity at the edge of the fillet band, which can itself reproduce a free-edge stress singularity independent of how smooth the surrounding geometry looks. The final design bonds the core to the rubber CONTINUOUSLY over its full height, with no free/bonded transition anywhere on the inner surface; the one explicit, disclosed, finite-radius feature is a smooth (C1-continuous, raised-cosine) circumferential GROOVE in the core's own radius profile at mid-height, with a closed-form radius of curvature of 0.0912 in the same nondimensional length units used throughout this benchmark (R_in0=0.5, R_out=1.0, Lz=1.0 -- consistent with this project's own dimensionless geometry/material convention already used for B1/B2, not tied to a specific physical unit). The core's prescribed motion is a true rigid-body rotation (coupled u_x and u_z), not a linear small-angle approximation, which was verified to silently assume zero axial displacement -- wrong for a real tilt.</w:t>
      </w:r>
    </w:p>
    <w:p>
      <w:pPr>
        <w:pStyle w:val="Heading2"/>
      </w:pPr>
      <w:r>
        <w:t>11.2 Candidate A: the B3 rubber-mount bushing -- GPU-confirmed mesh convergence</w:t>
      </w:r>
    </w:p>
    <w:p>
      <w:r>
        <w:rPr>
          <w:i w:val="0"/>
        </w:rPr>
        <w:t>Full QoI set tracked at every resolution: displacement L2 and an H1-like gradient semi-norm (both against a fine reference, via interpolation in the mesh's own shared parametric coordinate space, exact for node fields); total hyperelastic strain energy (a scalar total -- explicitly NOT the same, more rigorous tangent-energy-norm metric B1/B2 use, see the correction below); reaction moment about the rotation axis (the PRIMARY reaction QoI for this rocking case) and the resultant (Euclidean norm) of the reaction force vector (secondary, confirmed non-degenerate from real data, not assumed); and a fixed-region statistic on the sigma_xx component of the Cauchy stress tensor at the groove -- a volume-weighted regional average of sigma_xx and a regional 99th percentile of sigma_xx -- plus a separate full Cauchy-TENSOR relative field error over all stress components (see 11.2.1 for its own corrected methodology), with a reliability gate that reports the sigma_xx 99th percentile as "not reliable" below 20 quadrature-point samples rather than a misleading number from too few points.</w:t>
      </w:r>
    </w:p>
    <w:p>
      <w:r>
        <w:rPr>
          <w:i w:val="0"/>
        </w:rPr>
        <w:t>A GPU run (A100) solved two fine references to check whether the hardest QoI -- the fixed-region sigma_xx statistic -- had actually converged, not merely reached the largest mesh tried: 243,360 elements (81 x 40 x 79) and a new, finer 424,128-element mesh (97 x 48 x 95). The volume-weighted regional average of sigma_xx changed by only 0.506% between these two references -- down from 0.87% at the previous step, and within the predefined approximately 0.5-0.7% reference-convergence band -- supporting that this statistic's reference value is itself converged. This is a distinct claim from any operational mesh reaching 1% error against that reference: the highest non-reference mesh in the tested ladder (123,008 elements) still shows 1.28% error, so 1% is not yet reached by any mesh actually tested, only supported as a reasonable target by the reference's own demonstrated stability. The required-resolution table below is computed against the newer, finer reference.</w:t>
      </w:r>
    </w:p>
    <w:tbl>
      <w:tblPr>
        <w:tblW w:type="auto" w:w="0"/>
        <w:tblLook w:firstColumn="1" w:firstRow="1" w:lastColumn="0" w:lastRow="0" w:noHBand="0" w:noVBand="1" w:val="04A0"/>
      </w:tblPr>
      <w:tblGrid>
        <w:gridCol w:w="2340"/>
        <w:gridCol w:w="2340"/>
        <w:gridCol w:w="2340"/>
        <w:gridCol w:w="2340"/>
      </w:tblGrid>
      <w:tr>
        <w:tc>
          <w:tcPr>
            <w:tcW w:type="dxa" w:w="2340"/>
          </w:tcPr>
          <w:p>
            <w:r>
              <w:rPr>
                <w:b/>
              </w:rPr>
              <w:t>QoI</w:t>
            </w:r>
          </w:p>
        </w:tc>
        <w:tc>
          <w:tcPr>
            <w:tcW w:type="dxa" w:w="2340"/>
          </w:tcPr>
          <w:p>
            <w:r>
              <w:rPr>
                <w:b/>
              </w:rPr>
              <w:t>5% threshold</w:t>
            </w:r>
          </w:p>
        </w:tc>
        <w:tc>
          <w:tcPr>
            <w:tcW w:type="dxa" w:w="2340"/>
          </w:tcPr>
          <w:p>
            <w:r>
              <w:rPr>
                <w:b/>
              </w:rPr>
              <w:t>2% threshold</w:t>
            </w:r>
          </w:p>
        </w:tc>
        <w:tc>
          <w:tcPr>
            <w:tcW w:type="dxa" w:w="2340"/>
          </w:tcPr>
          <w:p>
            <w:r>
              <w:rPr>
                <w:b/>
              </w:rPr>
              <w:t>1% threshold</w:t>
            </w:r>
          </w:p>
        </w:tc>
      </w:tr>
      <w:tr>
        <w:tc>
          <w:tcPr>
            <w:tcW w:type="dxa" w:w="2340"/>
          </w:tcPr>
          <w:p>
            <w:r>
              <w:t>Displacement L2</w:t>
            </w:r>
          </w:p>
        </w:tc>
        <w:tc>
          <w:tcPr>
            <w:tcW w:type="dxa" w:w="2340"/>
          </w:tcPr>
          <w:p>
            <w:r>
              <w:t>600 el.</w:t>
            </w:r>
          </w:p>
        </w:tc>
        <w:tc>
          <w:tcPr>
            <w:tcW w:type="dxa" w:w="2340"/>
          </w:tcPr>
          <w:p>
            <w:r>
              <w:t>3,240 el.</w:t>
            </w:r>
          </w:p>
        </w:tc>
        <w:tc>
          <w:tcPr>
            <w:tcW w:type="dxa" w:w="2340"/>
          </w:tcPr>
          <w:p>
            <w:r>
              <w:t>20,808 el.</w:t>
            </w:r>
          </w:p>
        </w:tc>
      </w:tr>
      <w:tr>
        <w:tc>
          <w:tcPr>
            <w:tcW w:type="dxa" w:w="2340"/>
          </w:tcPr>
          <w:p>
            <w:r>
              <w:t>H1 (gradient) semi-norm</w:t>
            </w:r>
          </w:p>
        </w:tc>
        <w:tc>
          <w:tcPr>
            <w:tcW w:type="dxa" w:w="2340"/>
          </w:tcPr>
          <w:p>
            <w:r>
              <w:t>38,808 el.</w:t>
            </w:r>
          </w:p>
        </w:tc>
        <w:tc>
          <w:tcPr>
            <w:tcW w:type="dxa" w:w="2340"/>
          </w:tcPr>
          <w:p>
            <w:r>
              <w:t>not reached</w:t>
            </w:r>
          </w:p>
        </w:tc>
        <w:tc>
          <w:tcPr>
            <w:tcW w:type="dxa" w:w="2340"/>
          </w:tcPr>
          <w:p>
            <w:r>
              <w:t>not reached</w:t>
            </w:r>
          </w:p>
        </w:tc>
      </w:tr>
      <w:tr>
        <w:tc>
          <w:tcPr>
            <w:tcW w:type="dxa" w:w="2340"/>
          </w:tcPr>
          <w:p>
            <w:r>
              <w:t>Total strain energy</w:t>
            </w:r>
          </w:p>
        </w:tc>
        <w:tc>
          <w:tcPr>
            <w:tcW w:type="dxa" w:w="2340"/>
          </w:tcPr>
          <w:p>
            <w:r>
              <w:t>600 el.</w:t>
            </w:r>
          </w:p>
        </w:tc>
        <w:tc>
          <w:tcPr>
            <w:tcW w:type="dxa" w:w="2340"/>
          </w:tcPr>
          <w:p>
            <w:r>
              <w:t>600 el.</w:t>
            </w:r>
          </w:p>
        </w:tc>
        <w:tc>
          <w:tcPr>
            <w:tcW w:type="dxa" w:w="2340"/>
          </w:tcPr>
          <w:p>
            <w:r>
              <w:t>3,240 el.</w:t>
            </w:r>
          </w:p>
        </w:tc>
      </w:tr>
      <w:tr>
        <w:tc>
          <w:tcPr>
            <w:tcW w:type="dxa" w:w="2340"/>
          </w:tcPr>
          <w:p>
            <w:r>
              <w:t>Reaction moment (primary)</w:t>
            </w:r>
          </w:p>
        </w:tc>
        <w:tc>
          <w:tcPr>
            <w:tcW w:type="dxa" w:w="2340"/>
          </w:tcPr>
          <w:p>
            <w:r>
              <w:t>3,240 el.</w:t>
            </w:r>
          </w:p>
        </w:tc>
        <w:tc>
          <w:tcPr>
            <w:tcW w:type="dxa" w:w="2340"/>
          </w:tcPr>
          <w:p>
            <w:r>
              <w:t>9,464 el.</w:t>
            </w:r>
          </w:p>
        </w:tc>
        <w:tc>
          <w:tcPr>
            <w:tcW w:type="dxa" w:w="2340"/>
          </w:tcPr>
          <w:p>
            <w:r>
              <w:t>38,808 el.</w:t>
            </w:r>
          </w:p>
        </w:tc>
      </w:tr>
      <w:tr>
        <w:tc>
          <w:tcPr>
            <w:tcW w:type="dxa" w:w="2340"/>
          </w:tcPr>
          <w:p>
            <w:r>
              <w:t>Reaction force resultant (Euclidean norm, secondary)</w:t>
            </w:r>
          </w:p>
        </w:tc>
        <w:tc>
          <w:tcPr>
            <w:tcW w:type="dxa" w:w="2340"/>
          </w:tcPr>
          <w:p>
            <w:r>
              <w:t>65,000 el.</w:t>
            </w:r>
          </w:p>
        </w:tc>
        <w:tc>
          <w:tcPr>
            <w:tcW w:type="dxa" w:w="2340"/>
          </w:tcPr>
          <w:p>
            <w:r>
              <w:t>not reached</w:t>
            </w:r>
          </w:p>
        </w:tc>
        <w:tc>
          <w:tcPr>
            <w:tcW w:type="dxa" w:w="2340"/>
          </w:tcPr>
          <w:p>
            <w:r>
              <w:t>not reached</w:t>
            </w:r>
          </w:p>
        </w:tc>
      </w:tr>
      <w:tr>
        <w:tc>
          <w:tcPr>
            <w:tcW w:type="dxa" w:w="2340"/>
          </w:tcPr>
          <w:p>
            <w:r>
              <w:t>Regional average of sigma_xx (volume-weighted)</w:t>
            </w:r>
          </w:p>
        </w:tc>
        <w:tc>
          <w:tcPr>
            <w:tcW w:type="dxa" w:w="2340"/>
          </w:tcPr>
          <w:p>
            <w:r>
              <w:t>38,808 el.</w:t>
            </w:r>
          </w:p>
        </w:tc>
        <w:tc>
          <w:tcPr>
            <w:tcW w:type="dxa" w:w="2340"/>
          </w:tcPr>
          <w:p>
            <w:r>
              <w:t>123,008 el.</w:t>
            </w:r>
          </w:p>
        </w:tc>
        <w:tc>
          <w:tcPr>
            <w:tcW w:type="dxa" w:w="2340"/>
          </w:tcPr>
          <w:p>
            <w:r>
              <w:t>not reached by any non-reference mesh in the tested ladder (123,008 elements gives 1.28%); the two fine references differ by only 0.506%, supporting convergence of the reference itself</w:t>
            </w:r>
          </w:p>
        </w:tc>
      </w:tr>
      <w:tr>
        <w:tc>
          <w:tcPr>
            <w:tcW w:type="dxa" w:w="2340"/>
          </w:tcPr>
          <w:p>
            <w:r>
              <w:t>Regional 99th percentile of sigma_xx (volume-weighted)</w:t>
            </w:r>
          </w:p>
        </w:tc>
        <w:tc>
          <w:tcPr>
            <w:tcW w:type="dxa" w:w="2340"/>
          </w:tcPr>
          <w:p>
            <w:r>
              <w:t>not reached</w:t>
            </w:r>
          </w:p>
        </w:tc>
        <w:tc>
          <w:tcPr>
            <w:tcW w:type="dxa" w:w="2340"/>
          </w:tcPr>
          <w:p>
            <w:r>
              <w:t>not reached</w:t>
            </w:r>
          </w:p>
        </w:tc>
        <w:tc>
          <w:tcPr>
            <w:tcW w:type="dxa" w:w="2340"/>
          </w:tcPr>
          <w:p>
            <w:r>
              <w:t>not reached</w:t>
            </w:r>
          </w:p>
        </w:tc>
      </w:tr>
      <w:tr>
        <w:tc>
          <w:tcPr>
            <w:tcW w:type="dxa" w:w="2340"/>
          </w:tcPr>
          <w:p>
            <w:r>
              <w:t>Cauchy-stress tensor field error (all components)</w:t>
            </w:r>
          </w:p>
        </w:tc>
        <w:tc>
          <w:tcPr>
            <w:tcW w:type="dxa" w:w="2340"/>
          </w:tcPr>
          <w:p>
            <w:r>
              <w:t>38,808 el.</w:t>
            </w:r>
          </w:p>
        </w:tc>
        <w:tc>
          <w:tcPr>
            <w:tcW w:type="dxa" w:w="2340"/>
          </w:tcPr>
          <w:p>
            <w:r>
              <w:t>123,008 el.</w:t>
            </w:r>
          </w:p>
        </w:tc>
        <w:tc>
          <w:tcPr>
            <w:tcW w:type="dxa" w:w="2340"/>
          </w:tcPr>
          <w:p>
            <w:r>
              <w:t>not reached by any non-reference mesh in the tested ladder (123,008 elements gives 1.51%); the two fine references differ by only 0.662%, supporting convergence of the reference itself (see 11.2.1 for the methodology correction that produced this cleanly converging result)</w:t>
            </w:r>
          </w:p>
        </w:tc>
      </w:tr>
    </w:tbl>
    <w:p>
      <w:r>
        <w:rPr>
          <w:i/>
        </w:rPr>
        <w:t>Displacement, energy, and reaction moment all converge cleanly and smoothly, which is reassuring evidence the model, mesh, and boundary conditions are correct rather than merely not visibly broken. The H1 semi-norm and the reaction-force resultant do not reach 1% within the tested range -- a disclosed limitation, consistent with this project's own repeated finding (already established for B1/B2) that gradient/energy-flux-type quantities converge more slowly than displacement or averaged-stress statistics.</w:t>
      </w:r>
    </w:p>
    <w:p>
      <w:pPr>
        <w:pStyle w:val="Heading2"/>
      </w:pPr>
      <w:r>
        <w:t>11.2.1 The Cauchy-tensor field-error metric: a methodology bug found, fixed, and confirmed on real GPU data</w:t>
      </w:r>
    </w:p>
    <w:p>
      <w:r>
        <w:rPr>
          <w:i w:val="0"/>
        </w:rPr>
        <w:t>An earlier draft of this section reported the full Cauchy-TENSOR relative field error (comparing the whole stress tensor pointwise, at every quadrature point in the fixed region, rather than a single averaged scalar) as plateauing around 17.3% between the two finest GPU references, and treated that as a converged finding. On review, this was premature: the comparison itself was ASYMMETRIC -- the coarser mesh's own per-ELEMENT-AVERAGED Cauchy field was compared against the reference's own RAW per-Gauss-point values, two different representations of the same field, not a fair apples-to-apples test.</w:t>
      </w:r>
    </w:p>
    <w:p>
      <w:r>
        <w:rPr>
          <w:i w:val="0"/>
        </w:rPr>
        <w:t>Two fixes were tried before the correct one was found, all tested directly against the real solver rather than assumed to work. (1) Moving BOTH sides to raw per-Gauss-point values made the reported error substantially WORSE (a 600-element case moved from 32.97% to 84.08%; a 3,240-element case from 22.80% to 59.51%), traced to a real, checkable cause: within a single coarse element, the stress at its own 8 Gauss points varies by up to 250.9 -- comparable to or larger than the entire mesh's own element-averaged stress range end to end. Raw Gauss-point stresses are generally discontinuous across element boundaries and can be highly mesh-sensitive in regions with steep stress gradients, so comparing raw values on both sides amplified that sensitivity rather than removing it. (2) Shrinking the fixed sampling region (to test whether a smaller zone would avoid spanning as steep a gradient) was tried at half and quarter the original radius: the reported error increased at every step tested (48.78% to 58.04% to 59.73%) rather than improving. A smaller region also means fewer quadrature-point samples available to average over, which may contribute to this, though that was not isolated as the single confirmed cause. Neither (1) nor (2) was adopted.</w:t>
      </w:r>
    </w:p>
    <w:p>
      <w:r>
        <w:rPr>
          <w:i w:val="0"/>
        </w:rPr>
        <w:t>The combination not yet tried at that point was the genuinely SYMMETRIC one: both sides at the SAME (element-averaged) representation, compared at the SAME physical sample points -- the coarser case's own field interpolated onto the reference's own ELEMENT CENTROIDS (not Gauss points), compared against the reference's own element-averaged field at those same centroids, volume-weighted. This has now been implemented in mesh_convergence_B3.py and tested directly on real CPU data: it shows clean, monotonic convergence with resolution -- 48.5%, 23.3%, 14.3%, and 7.7% for the 144-, 600-, 1,568-, and 3,240-element cases, all against the same 9,464-element reference. This is a real, physically sensible convergence trend, unlike either asymmetric version tried before it, and supports that the earlier ~17.3% plateau was a methodology artifact rather than a genuine physical limit of this QoI.</w:t>
      </w:r>
    </w:p>
    <w:p>
      <w:r>
        <w:rPr>
          <w:i/>
        </w:rPr>
        <w:t>This fix has now been confirmed on real GPU data, not just at CPU scale. Re-running the same A100 reference pair (243,360 vs. 424,128 elements) with the corrected, symmetric comparison gives a full Cauchy-tensor field error of 0.662% between the two references -- and the WHOLE resolution ladder now converges cleanly and monotonically against the finer reference: 28.442% (600 elements), 15.130% (3,240), 8.609% (9,464), 5.567% (20,808), 3.762% (38,808), 2.599% (65,000), 1.510% (123,008), down to 0.662% between the two references -- essentially the same well-behaved shape as the regional sigma_xx average (11.2 above), and a world away from the earlier ~17.3% plateau. This QoI is no longer provisional: the required-resolution table above now reports real 5%/2% thresholds for it, with 1% not yet reached by any single non-reference mesh but well-supported by the reference's own 0.662% stability, exactly mirroring how the regional sigma_xx average's own 1% row is read.</w:t>
      </w:r>
    </w:p>
    <w:p>
      <w:pPr>
        <w:pStyle w:val="Heading2"/>
      </w:pPr>
      <w:r>
        <w:t>11.3 Candidate B: the tire sector -- a lightweight preliminary alternative</w:t>
      </w:r>
    </w:p>
    <w:p>
      <w:r>
        <w:rPr>
          <w:i w:val="0"/>
        </w:rPr>
        <w:t>A genuine torus segment (not a straight extrusion, which would only reproduce B3): the same meridian half-ring cross-section B2/B3 already use is swept through a limited circumferential sector angle around a big wheel axis. The bead is bonded to a fixed rigid rim; the tread carries a smooth (C1, raised-cosine) groove at its own centerline, the same construction as B3's own feature. Two real bugs were found and fixed during development: a parity-flipping axis permutation in the torus-sweep mapping gave every element negative signed volume (fixed by reversing the underlying 2D quad's own node winding); and an inversion of the sweep mapping in the boundary-mask logic swapped which recovered local coordinate was which, making the tread-load selection always come up empty (fixed by re-deriving the inverse mapping directly from the forward one).</w:t>
      </w:r>
    </w:p>
    <w:p>
      <w:r>
        <w:rPr>
          <w:i w:val="0"/>
        </w:rPr>
        <w:t>Loading combines two superposed pressure loads under one incremental ramp: a distributed outward pressure preload, applied over the entire outer boundary of the meridian cross-section (every node with r_local = R_tread_eff(theta) across the full theta range, i.e. every node not bonded to the bead). The meridian cross-section here is a SOLID volume from the bead to the tread surface, not a hollow shell with an internal cavity, so this preload is a boundary condition on the outer surface rather than a literal internal inflation pressure -- the term "inflation pressure" used in an earlier draft has been corrected accordingly. A second, additional, localized inward pressure is superposed within a window at the tread centerline (renamed from an earlier, inaccurate "contact patch" -- there is no ground-contact formulation here, no contact mechanics, no rigid ground surface). A solve smoke test confirms the rim stays exactly fixed, the rest of the tread bulges outward under the distributed preload alone as expected, the loaded window still moves net inward (the local load dominates the preload there), and the deformation is non-degenerate in all three directions, confirming the torus topology is genuinely three-dimensional.</w:t>
      </w:r>
    </w:p>
    <w:p>
      <w:r>
        <w:rPr>
          <w:i w:val="0"/>
        </w:rPr>
        <w:t>A lightweight preliminary convergence check (four resolutions, 96 to 2,880 elements) tracks displacement, total strain energy, and the groove-region stress; both show real, material resolution sensitivity, consistent with this project's own established pattern that local, boundary-window-dependent quantities converge more slowly than global ones. Two disclosed effects were identified and handled explicitly rather than reported without qualification: the reaction moment about the wheel's own spin axis is exactly zero at every resolution, for a genuine geometric reason (every applied load is pressure normal to a surface of revolution about that axis, which cannot produce torque about it) -- reported as a diagnostic only, never as a convergence target, unlike B3's own physical rocking moment. The combined net reaction force (the distributed preload and local load together) swings by roughly 100x with sign changes across resolutions because it is a near-cancellation of two comparable, unrelated load resultants -- confirmed by reconstructing the combined force exactly from the two loads' own isolated resultants -- so the local load's own isolated resultant magnitude is used as the reaction-family QoI instead, and the combined force is kept only for the equilibrium check. The two circumferential sector-cut faces are confirmed genuinely free (not artificially clamped), but are not tied together as a periodic boundary condition -- a disclosed limitation, since implementing a true periodic-tie constraint is nontrivial new solver infrastructure judged out of scope for a lightweight preliminary candidate; the load and stress-sampling region are deliberately centered mid-sector, away from both cuts, to mitigate this. If the tire candidate is selected for the final benchmark, the sector-boundary treatment will be revisited before dataset generation or operator training -- this preliminary version is not proposed as the final tire model.</w:t>
      </w:r>
    </w:p>
    <w:p>
      <w:pPr>
        <w:pStyle w:val="Heading2"/>
      </w:pPr>
      <w:r>
        <w:t>11.4 Status</w:t>
      </w:r>
    </w:p>
    <w:p>
      <w:r>
        <w:rPr>
          <w:i w:val="0"/>
        </w:rPr>
        <w:t>Both candidates are prepared to a validated, documented state -- B3 with a GPU-confirmed mesh-convergence study and a full required-resolution table; the tire sector as a working, but deliberately lightweight preliminary alternative. No dataset generation or neural-operator training has started for either candidate; that step depends on Timon's choice between them. After the final 3D candidate is selected, the remaining numerical step is dataset generation, operator training, and the FEM-versus-operator comparison on displacement, reaction, energy, and regional Cauchy-stress QoIs, exactly as done for B1 and B2 -- that comparison has not started for either candidate and is not implied to be complete by anything above.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