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14</w:t>
      </w:r>
    </w:p>
    <w:p>
      <w:r>
        <w:rPr>
          <w:i/>
        </w:rPr>
        <w:t>This round covers Timon's item 4 (design and build a new, harder, more realistic 3D example). Two candidates were prepared in parallel; Omar's own detailed 11-point technical review of both was carried out before this write-up, and this Summary also covers the real GPU result that followed, a methodology fix to the Cauchy-tensor field-error metric (found via a second, line-by-line review of the first draft, before it was shown to Timon), and the GPU re-run confirming that fix with a real reference-scale number. As with previous rounds, everything below is copied verbatim (same tables, same text) out of the now-updated cumulative Report (PFEM_Transolver_Report_2026-09-21d.docx) -- nothing summarized or re-derived. Neither candidate's dataset generation or neural-operator training has started; that step is gated on Timon's choice between them.</w:t>
      </w: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full Cauchy-TENSOR relative field error (see 11.2.1 for its own corrected methodology),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region-average statistic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region-average statistic's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applied over the ENTIRE outer boundary of the meridian cross-section (every node with r_local = R_tread_eff(theta) for theta across its full [0,pi] range, i.e. every node not bonded to the bead -- representing the full inner surface of the tire's own outer shell, not only a narrow contact-band region),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