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Protocol, exactly as the advisor asked: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Neo-Hookean's own retrain was still mid-training as of this writing and is not included below.</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0" name="Picture 2125636090"/>
            <wp:cNvGraphicFramePr>
              <a:graphicFrameLocks noChangeAspect="1"/>
            </wp:cNvGraphicFramePr>
            <a:graphic>
              <a:graphicData uri="http://schemas.openxmlformats.org/drawingml/2006/picture">
                <pic:pic>
                  <pic:nvPicPr>
                    <pic:cNvPr id="0" name="fig_multires_retrain_summary.png"/>
                    <pic:cNvPicPr/>
                  </pic:nvPicPr>
                  <pic:blipFill>
                    <a:blip r:embed="rId57"/>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The advisor's round-11 feedback asked to keep a SECOND break-even comparison too: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 B2 x Neo-Hookean reuses an earlier clean measurement: the freshest re-run's own attempt at this case failed with a CUDA OOM caused by leftover GPU memory from the immediately preceding B1 x Arruda-Boyce failure (81.27 GB already allocated on a 79.25 GB device before this case even started) -- a memory-cleanup gap between cases in the sweep script, not a real finding about this case. Both Arruda-Boyce cases fail genuinely and consistently across every run: torch-fem's own Newton-Raphson solve does not converge at N=1401, root-caused to a real CUDA OOM inside torch-fem's own Hessian assembly for this specific material.</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