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DRAFT reply to Timon's round-13 email -- NOT YET SENT. Review before sending.</w:t>
      </w:r>
    </w:p>
    <w:p>
      <w:r>
        <w:rPr>
          <w:i/>
        </w:rPr>
        <w:t>Items 1-3 are complete and reported in the attached Report/Summary. Item 4's mesh-convergence half is also complete for the rubber-mount bushing (B3). What is genuinely NOT done yet is the dataset generation, operator training, and FEM-vs-operator comparison item 4 also asks for -- that is gated on Timon confirming which geometry to proceed with, which this draft asks directly rather than assuming.</w:t>
      </w:r>
    </w:p>
    <w:p/>
    <w:p>
      <w:r>
        <w:t>Subject: Round-13 items 1-3 complete; item 4 -- two candidates prepared, your call on which one to take forward</w:t>
      </w:r>
    </w:p>
    <w:p/>
    <w:p>
      <w:r>
        <w:t>Dear Professor Rabczuk,</w:t>
      </w:r>
    </w:p>
    <w:p>
      <w:r>
        <w:t>Items 1-3 from your last email are complete; the attached Report and Summary cover them in full.</w:t>
      </w:r>
    </w:p>
    <w:p>
      <w:r>
        <w:t>1. The accuracy-vs-N comparison now uses only the lower-N range (N=1401 dropped), the corrected final checkpoints, and a common reference across all six cases. The new table shows, for 1%/2%/5% accuracy thresholds, the required FEM resolution and the operator's break-even point, separately for displacement L2, H1/tangent energy, reaction force, and the fixed-region Cauchy stress -- so the practical comparison is shown explicitly to depend on which accuracy level and which QoI are actually required, as you asked.</w:t>
      </w:r>
    </w:p>
    <w:p>
      <w:r>
        <w:t>2. Our own GPU-native finite-element solver is now named explicitly as the primary timing baseline everywhere it has been measured; torch-fem/TensorMesh remain secondary comparisons, and the same-N comparison is kept as its own separate table, since it answers a different question from the accuracy-matched one.</w:t>
      </w:r>
    </w:p>
    <w:p>
      <w:r>
        <w:t>3. IGA/NURBS is dropped from this paper and noted as future work only.</w:t>
      </w:r>
    </w:p>
    <w:p>
      <w:r>
        <w:t>4. For the harder 3D example, we prepared two candidates in parallel so you could see both before we commit real GPU time to one:</w:t>
      </w:r>
    </w:p>
    <w:p>
      <w:r>
        <w:t>(A) A rocking elastomeric rubber-mount bushing with a smooth, finite-radius stress concentration -- essentially the geometry you suggested. This one has been taken to full rigor already: mesh convergence is confirmed on a real A100 run (the fixed-region Cauchy stress -- the hardest QoI here -- changes by only 0.506% between a 243k- and a 424k-element reference, within the intended 0.5-0.7% convergence band), and a full required-resolution table exists for displacement, H1, energy, reaction force/moment, and the regional Cauchy stress. A stricter, full-tensor pointwise version of the Cauchy-stress field error initially appeared to plateau around 17%; on closer review this turned out to be a real bug in how the comparison was built (comparing two different representations of the field, not a fair test), now fixed and re-tested -- the corrected version shows clean, physically sensible convergence at CPU scale, and we're re-confirming it at the same GPU reference scale as the average statistic before finalizing the number.</w:t>
      </w:r>
    </w:p>
    <w:p>
      <w:r>
        <w:t>(B) A tire sector -- a real torus segment, not an extrusion -- prepared only as a lightweight preliminary alternative (geometry, boundary conditions, a real solve, and a basic convergence check), since you had mentioned it separately as a possible harder problem. It is not brought to the bushing's own level of rigor unless you'd prefer it.</w:t>
      </w:r>
    </w:p>
    <w:p>
      <w:r>
        <w:t>Both are described in full in the attached Summary. To be clear about where this stands: only the geometry, mesh convergence, and a real solve are done for either candidate -- no dataset has been generated, no operator trained, and no FEM-vs-operator comparison run yet. Before we start that (dataset generation, operator training, and the displacement/reaction/energy/regional-Cauchy-stress comparison item 4 asks for), could you confirm which of the two you'd like us to take forward -- the bushing, the tire sector, or something else you have in mind?</w:t>
      </w:r>
    </w:p>
    <w:p>
      <w:r>
        <w:t>Once you confirm, we'll generate the dataset, train the operator, and report back with that same comparison used for the other two cases -- and then start writing the paper.</w:t>
      </w:r>
    </w:p>
    <w:p>
      <w:r>
        <w:t>Best regards,</w:t>
      </w:r>
    </w:p>
    <w:p>
      <w:r>
        <w:t>Omar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