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full Cauchy-TENSOR relative field error (see 11.2.1 for its own corrected methodology),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not reached</w:t>
            </w:r>
          </w:p>
        </w:tc>
        <w:tc>
          <w:tcPr>
            <w:tcW w:type="dxa" w:w="2340"/>
          </w:tcPr>
          <w:p>
            <w:r>
              <w:t>not reached</w:t>
            </w:r>
          </w:p>
        </w:tc>
        <w:tc>
          <w:tcPr>
            <w:tcW w:type="dxa" w:w="2340"/>
          </w:tcPr>
          <w:p>
            <w:r>
              <w:t>not reached -- methodology corrected 2026-09-21, GPU-scale number pending (see 11.2.1)</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re-tested -- GPU confirmation still pending</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been validated at CPU scale only. The GPU-scale reference pair (243,360 vs. 424,128 elements) has NOT yet been re-solved with the corrected comparison, so no final full-tensor field-error number is reported here yet -- the required-resolution table above correctly still shows "not reached" for this QoI, pending that re-run. The volume-weighted region-average Cauchy stress (11.2 above, confirmed converged to 0.506% at GPU scale) remains unaffected by this fix and is unchanged.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applied over the ENTIRE outer boundary of the meridian cross-section (every node with r_local = R_tread_eff(theta) for theta across its full [0,pi] range, i.e. every node not bonded to the bead -- representing the full inner surface of the tire's own outer shell, not only a narrow contact-band region),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