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r>
        <w:tc>
          <w:tcPr>
            <w:tcW w:type="dxa" w:w="562"/>
          </w:tcPr>
          <w:p>
            <w:r>
              <w:t>9</w:t>
            </w:r>
          </w:p>
        </w:tc>
        <w:tc>
          <w:tcPr>
            <w:tcW w:type="dxa" w:w="2808"/>
          </w:tcPr>
          <w:p>
            <w:r>
              <w:t>New, harder, more realistic 3D example (Timon item 4)</w:t>
            </w:r>
          </w:p>
        </w:tc>
        <w:tc>
          <w:tcPr>
            <w:tcW w:type="dxa" w:w="5990"/>
          </w:tcPr>
          <w:p>
            <w:r>
              <w:t>Dataset generation, operator training, and the full FEM-versus-operator comparison are now complete for B3 (11.6-11.9): displacement (2.03%), energy (2.30%), and reaction (2.22%) are well reproduced against an independent fine reference, with a completed accuracy-matched break-even analysis (589-739x speed-up, break-even under 1,900 solves). Regional Cauchy stress, after local integration refinement, is reported as a documented limitation (62.2% reduced to 29.8%, still above the 5-10% target) -- see 11.8 and 11.10.</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6C2C8598" w14:textId="77777777" w:rsidR="007D1968" w:rsidRDefault="00000000">
      <w:pPr>
        <w:pStyle w:val="ListParagraph"/>
        <w:numPr>
          <w:ilvl w:val="0"/>
          <w:numId w:val="1"/>
        </w:numPr>
        <w:spacing w:after="100"/>
      </w:pPr>
      <w:r>
        <w:t>The new, harder, more realistic 3D example (item 4) is now complete through training and evaluation (11.6-11.9): displacement, energy, and reaction are well reproduced with a completed accuracy-matched break-even analysis; regional Cauchy stress is reported as a documented limitation after local integration refinement roughly halved its error, with further improvement explicitly deferred to a planned follow-up publication per the advisor’s own decision (11.10).</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real per-resolution GPU peak memory (peak allocated and peak reserved, via torch.cuda's own peak-memory-stats API around each solve) was added to the mesh-convergence code and the ladder re-run on an A100 to obtain it -- the region-Cauchy field error and displacement L2 values in this re-run are identical to 11.2's own table, confirming reproducibility before trusting the new memory numbers alongside them.</w:t>
      </w:r>
    </w:p>
    <w:tbl>
      <w:tblPr>
        <w:tblW w:type="auto" w:w="0"/>
        <w:tblLook w:firstColumn="1" w:firstRow="1" w:lastColumn="0" w:lastRow="0" w:noHBand="0" w:noVBand="1" w:val="04A0"/>
      </w:tblPr>
      <w:tblGrid>
        <w:gridCol w:w="2340"/>
        <w:gridCol w:w="2340"/>
        <w:gridCol w:w="2340"/>
        <w:gridCol w:w="2340"/>
      </w:tblGrid>
      <w:tr>
        <w:tc>
          <w:tcPr>
            <w:tcW w:type="dxa" w:w="2340"/>
          </w:tcPr>
          <w:p>
            <w:r>
              <w:rPr>
                <w:b/>
              </w:rPr>
              <w:t>Elements</w:t>
            </w:r>
          </w:p>
        </w:tc>
        <w:tc>
          <w:tcPr>
            <w:tcW w:type="dxa" w:w="2340"/>
          </w:tcPr>
          <w:p>
            <w:r>
              <w:rPr>
                <w:b/>
              </w:rPr>
              <w:t>Time (s)</w:t>
            </w:r>
          </w:p>
        </w:tc>
        <w:tc>
          <w:tcPr>
            <w:tcW w:type="dxa" w:w="2340"/>
          </w:tcPr>
          <w:p>
            <w:r>
              <w:rPr>
                <w:b/>
              </w:rPr>
              <w:t>GPU peak allocated (MB)</w:t>
            </w:r>
          </w:p>
        </w:tc>
        <w:tc>
          <w:tcPr>
            <w:tcW w:type="dxa" w:w="2340"/>
          </w:tcPr>
          <w:p>
            <w:r>
              <w:rPr>
                <w:b/>
              </w:rPr>
              <w:t>GPU peak reserved (MB)</w:t>
            </w:r>
          </w:p>
        </w:tc>
      </w:tr>
      <w:tr>
        <w:tc>
          <w:tcPr>
            <w:tcW w:type="dxa" w:w="2340"/>
          </w:tcPr>
          <w:p>
            <w:r>
              <w:t>336</w:t>
            </w:r>
          </w:p>
        </w:tc>
        <w:tc>
          <w:tcPr>
            <w:tcW w:type="dxa" w:w="2340"/>
          </w:tcPr>
          <w:p>
            <w:r>
              <w:t>5.21</w:t>
            </w:r>
          </w:p>
        </w:tc>
        <w:tc>
          <w:tcPr>
            <w:tcW w:type="dxa" w:w="2340"/>
          </w:tcPr>
          <w:p>
            <w:r>
              <w:t>32.8</w:t>
            </w:r>
          </w:p>
        </w:tc>
        <w:tc>
          <w:tcPr>
            <w:tcW w:type="dxa" w:w="2340"/>
          </w:tcPr>
          <w:p>
            <w:r>
              <w:t>52.4</w:t>
            </w:r>
          </w:p>
        </w:tc>
      </w:tr>
      <w:tr>
        <w:tc>
          <w:tcPr>
            <w:tcW w:type="dxa" w:w="2340"/>
          </w:tcPr>
          <w:p>
            <w:r>
              <w:t>1,320</w:t>
            </w:r>
          </w:p>
        </w:tc>
        <w:tc>
          <w:tcPr>
            <w:tcW w:type="dxa" w:w="2340"/>
          </w:tcPr>
          <w:p>
            <w:r>
              <w:t>4.01</w:t>
            </w:r>
          </w:p>
        </w:tc>
        <w:tc>
          <w:tcPr>
            <w:tcW w:type="dxa" w:w="2340"/>
          </w:tcPr>
          <w:p>
            <w:r>
              <w:t>79.1</w:t>
            </w:r>
          </w:p>
        </w:tc>
        <w:tc>
          <w:tcPr>
            <w:tcW w:type="dxa" w:w="2340"/>
          </w:tcPr>
          <w:p>
            <w:r>
              <w:t>109.1</w:t>
            </w:r>
          </w:p>
        </w:tc>
      </w:tr>
      <w:tr>
        <w:tc>
          <w:tcPr>
            <w:tcW w:type="dxa" w:w="2340"/>
          </w:tcPr>
          <w:p>
            <w:r>
              <w:t>3,360</w:t>
            </w:r>
          </w:p>
        </w:tc>
        <w:tc>
          <w:tcPr>
            <w:tcW w:type="dxa" w:w="2340"/>
          </w:tcPr>
          <w:p>
            <w:r>
              <w:t>4.45</w:t>
            </w:r>
          </w:p>
        </w:tc>
        <w:tc>
          <w:tcPr>
            <w:tcW w:type="dxa" w:w="2340"/>
          </w:tcPr>
          <w:p>
            <w:r>
              <w:t>174.7</w:t>
            </w:r>
          </w:p>
        </w:tc>
        <w:tc>
          <w:tcPr>
            <w:tcW w:type="dxa" w:w="2340"/>
          </w:tcPr>
          <w:p>
            <w:r>
              <w:t>213.9</w:t>
            </w:r>
          </w:p>
        </w:tc>
      </w:tr>
      <w:tr>
        <w:tc>
          <w:tcPr>
            <w:tcW w:type="dxa" w:w="2340"/>
          </w:tcPr>
          <w:p>
            <w:r>
              <w:t>6,840</w:t>
            </w:r>
          </w:p>
        </w:tc>
        <w:tc>
          <w:tcPr>
            <w:tcW w:type="dxa" w:w="2340"/>
          </w:tcPr>
          <w:p>
            <w:r>
              <w:t>4.86</w:t>
            </w:r>
          </w:p>
        </w:tc>
        <w:tc>
          <w:tcPr>
            <w:tcW w:type="dxa" w:w="2340"/>
          </w:tcPr>
          <w:p>
            <w:r>
              <w:t>338.7</w:t>
            </w:r>
          </w:p>
        </w:tc>
        <w:tc>
          <w:tcPr>
            <w:tcW w:type="dxa" w:w="2340"/>
          </w:tcPr>
          <w:p>
            <w:r>
              <w:t>419.4</w:t>
            </w:r>
          </w:p>
        </w:tc>
      </w:tr>
      <w:tr>
        <w:tc>
          <w:tcPr>
            <w:tcW w:type="dxa" w:w="2340"/>
          </w:tcPr>
          <w:p>
            <w:r>
              <w:t>18,200</w:t>
            </w:r>
          </w:p>
        </w:tc>
        <w:tc>
          <w:tcPr>
            <w:tcW w:type="dxa" w:w="2340"/>
          </w:tcPr>
          <w:p>
            <w:r>
              <w:t>5.86</w:t>
            </w:r>
          </w:p>
        </w:tc>
        <w:tc>
          <w:tcPr>
            <w:tcW w:type="dxa" w:w="2340"/>
          </w:tcPr>
          <w:p>
            <w:r>
              <w:t>866.4</w:t>
            </w:r>
          </w:p>
        </w:tc>
        <w:tc>
          <w:tcPr>
            <w:tcW w:type="dxa" w:w="2340"/>
          </w:tcPr>
          <w:p>
            <w:r>
              <w:t>1,050.7</w:t>
            </w:r>
          </w:p>
        </w:tc>
      </w:tr>
      <w:tr>
        <w:tc>
          <w:tcPr>
            <w:tcW w:type="dxa" w:w="2340"/>
          </w:tcPr>
          <w:p>
            <w:r>
              <w:t>79,464</w:t>
            </w:r>
          </w:p>
        </w:tc>
        <w:tc>
          <w:tcPr>
            <w:tcW w:type="dxa" w:w="2340"/>
          </w:tcPr>
          <w:p>
            <w:r>
              <w:t>13.52</w:t>
            </w:r>
          </w:p>
        </w:tc>
        <w:tc>
          <w:tcPr>
            <w:tcW w:type="dxa" w:w="2340"/>
          </w:tcPr>
          <w:p>
            <w:r>
              <w:t>3,689.4</w:t>
            </w:r>
          </w:p>
        </w:tc>
        <w:tc>
          <w:tcPr>
            <w:tcW w:type="dxa" w:w="2340"/>
          </w:tcPr>
          <w:p>
            <w:r>
              <w:t>4,538.2</w:t>
            </w:r>
          </w:p>
        </w:tc>
      </w:tr>
      <w:tr>
        <w:tc>
          <w:tcPr>
            <w:tcW w:type="dxa" w:w="2340"/>
          </w:tcPr>
          <w:p>
            <w:r>
              <w:t>201,780</w:t>
            </w:r>
          </w:p>
        </w:tc>
        <w:tc>
          <w:tcPr>
            <w:tcW w:type="dxa" w:w="2340"/>
          </w:tcPr>
          <w:p>
            <w:r>
              <w:t>30.46</w:t>
            </w:r>
          </w:p>
        </w:tc>
        <w:tc>
          <w:tcPr>
            <w:tcW w:type="dxa" w:w="2340"/>
          </w:tcPr>
          <w:p>
            <w:r>
              <w:t>9,299.0</w:t>
            </w:r>
          </w:p>
        </w:tc>
        <w:tc>
          <w:tcPr>
            <w:tcW w:type="dxa" w:w="2340"/>
          </w:tcPr>
          <w:p>
            <w:r>
              <w:t>11,395.9</w:t>
            </w:r>
          </w:p>
        </w:tc>
      </w:tr>
      <w:tr>
        <w:tc>
          <w:tcPr>
            <w:tcW w:type="dxa" w:w="2340"/>
          </w:tcPr>
          <w:p>
            <w:r>
              <w:t>480,320</w:t>
            </w:r>
          </w:p>
        </w:tc>
        <w:tc>
          <w:tcPr>
            <w:tcW w:type="dxa" w:w="2340"/>
          </w:tcPr>
          <w:p>
            <w:r>
              <w:t>76.06</w:t>
            </w:r>
          </w:p>
        </w:tc>
        <w:tc>
          <w:tcPr>
            <w:tcW w:type="dxa" w:w="2340"/>
          </w:tcPr>
          <w:p>
            <w:r>
              <w:t>22,073.0</w:t>
            </w:r>
          </w:p>
        </w:tc>
        <w:tc>
          <w:tcPr>
            <w:tcW w:type="dxa" w:w="2340"/>
          </w:tcPr>
          <w:p>
            <w:r>
              <w:t>27,086.8</w:t>
            </w:r>
          </w:p>
        </w:tc>
      </w:tr>
      <w:tr>
        <w:tc>
          <w:tcPr>
            <w:tcW w:type="dxa" w:w="2340"/>
          </w:tcPr>
          <w:p>
            <w:r>
              <w:t>557,760</w:t>
            </w:r>
          </w:p>
        </w:tc>
        <w:tc>
          <w:tcPr>
            <w:tcW w:type="dxa" w:w="2340"/>
          </w:tcPr>
          <w:p>
            <w:r>
              <w:t>89.40</w:t>
            </w:r>
          </w:p>
        </w:tc>
        <w:tc>
          <w:tcPr>
            <w:tcW w:type="dxa" w:w="2340"/>
          </w:tcPr>
          <w:p>
            <w:r>
              <w:t>25,631.4</w:t>
            </w:r>
          </w:p>
        </w:tc>
        <w:tc>
          <w:tcPr>
            <w:tcW w:type="dxa" w:w="2340"/>
          </w:tcPr>
          <w:p>
            <w:r>
              <w:t>31,436.3</w:t>
            </w:r>
          </w:p>
        </w:tc>
      </w:tr>
      <w:tr>
        <w:tc>
          <w:tcPr>
            <w:tcW w:type="dxa" w:w="2340"/>
          </w:tcPr>
          <w:p>
            <w:r>
              <w:t>643,104</w:t>
            </w:r>
          </w:p>
        </w:tc>
        <w:tc>
          <w:tcPr>
            <w:tcW w:type="dxa" w:w="2340"/>
          </w:tcPr>
          <w:p>
            <w:r>
              <w:t>107.71</w:t>
            </w:r>
          </w:p>
        </w:tc>
        <w:tc>
          <w:tcPr>
            <w:tcW w:type="dxa" w:w="2340"/>
          </w:tcPr>
          <w:p>
            <w:r>
              <w:t>29,550.1</w:t>
            </w:r>
          </w:p>
        </w:tc>
        <w:tc>
          <w:tcPr>
            <w:tcW w:type="dxa" w:w="2340"/>
          </w:tcPr>
          <w:p>
            <w:r>
              <w:t>36,251.4</w:t>
            </w:r>
          </w:p>
        </w:tc>
      </w:tr>
      <w:tr>
        <w:tc>
          <w:tcPr>
            <w:tcW w:type="dxa" w:w="2340"/>
          </w:tcPr>
          <w:p>
            <w:r>
              <w:t>736,736</w:t>
            </w:r>
          </w:p>
        </w:tc>
        <w:tc>
          <w:tcPr>
            <w:tcW w:type="dxa" w:w="2340"/>
          </w:tcPr>
          <w:p>
            <w:r>
              <w:t>125.89</w:t>
            </w:r>
          </w:p>
        </w:tc>
        <w:tc>
          <w:tcPr>
            <w:tcW w:type="dxa" w:w="2340"/>
          </w:tcPr>
          <w:p>
            <w:r>
              <w:t>33,841.8</w:t>
            </w:r>
          </w:p>
        </w:tc>
        <w:tc>
          <w:tcPr>
            <w:tcW w:type="dxa" w:w="2340"/>
          </w:tcPr>
          <w:p>
            <w:r>
              <w:t>41,517.3</w:t>
            </w:r>
          </w:p>
        </w:tc>
      </w:tr>
      <w:tr>
        <w:tc>
          <w:tcPr>
            <w:tcW w:type="dxa" w:w="2340"/>
          </w:tcPr>
          <w:p>
            <w:r>
              <w:t>839,040</w:t>
            </w:r>
          </w:p>
        </w:tc>
        <w:tc>
          <w:tcPr>
            <w:tcW w:type="dxa" w:w="2340"/>
          </w:tcPr>
          <w:p>
            <w:r>
              <w:t>149.56</w:t>
            </w:r>
          </w:p>
        </w:tc>
        <w:tc>
          <w:tcPr>
            <w:tcW w:type="dxa" w:w="2340"/>
          </w:tcPr>
          <w:p>
            <w:r>
              <w:t>38,529.2</w:t>
            </w:r>
          </w:p>
        </w:tc>
        <w:tc>
          <w:tcPr>
            <w:tcW w:type="dxa" w:w="2340"/>
          </w:tcPr>
          <w:p>
            <w:r>
              <w:t>47,271.9</w:t>
            </w:r>
          </w:p>
        </w:tc>
      </w:tr>
      <w:tr>
        <w:tc>
          <w:tcPr>
            <w:tcW w:type="dxa" w:w="2340"/>
          </w:tcPr>
          <w:p>
            <w:r>
              <w:t>950,400 (reference)</w:t>
            </w:r>
          </w:p>
        </w:tc>
        <w:tc>
          <w:tcPr>
            <w:tcW w:type="dxa" w:w="2340"/>
          </w:tcPr>
          <w:p>
            <w:r>
              <w:t>176.90</w:t>
            </w:r>
          </w:p>
        </w:tc>
        <w:tc>
          <w:tcPr>
            <w:tcW w:type="dxa" w:w="2340"/>
          </w:tcPr>
          <w:p>
            <w:r>
              <w:t>43,637.5</w:t>
            </w:r>
          </w:p>
        </w:tc>
        <w:tc>
          <w:tcPr>
            <w:tcW w:type="dxa" w:w="2340"/>
          </w:tcPr>
          <w:p>
            <w:r>
              <w:t>53,540.3</w:t>
            </w:r>
          </w:p>
        </w:tc>
      </w:tr>
    </w:tbl>
    <w:p>
      <w:r>
        <w:rPr>
          <w:i w:val="0"/>
        </w:rPr>
        <w:t>Both time and peak memory grow substantially faster than linearly with element count (roughly 2.4x the elements from 480,320 to 950,400 elements costs about 2.3x the time and 2.0x the peak memory), consistent with the increased fill-in of the assembled tangent stiffness matrix at finer 3D meshes. The full 13-point ladder completed in 41 minutes 17 seconds total on a single A100 -- consistent with the original run's 40 minutes 41 seconds, the small difference being ordinary run-to-run variation, not a regression.</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All three of the advisor's next-step items above are now addressed (reference chosen, time/memory reported, VINO parameter scope decided) except the exact sampling ranges for E, nu, and phi, which remain a deliberately separate, not-yet-decided step. Once those are set, the remaining numerical steps are dataset generation, operator training, and the FEM-versus-operator comparison on displacement, reaction, energy, and regional Cauchy-stress QoIs, exactly as done for B1 and B2 -- none of this is implied to be complete by anything above.</w:t>
      </w:r>
    </w:p>
    <w:p>
      <w:pPr>
        <w:pStyle w:val="Heading2"/>
      </w:pPr>
      <w:r>
        <w:t>11.6 Dataset Generation and Operator Training</w:t>
      </w:r>
    </w:p>
    <w:p>
      <w:r>
        <w:t>Following the scope decided in 11.5, a Deep Energy Method (DEM) Transolver operator was trained for Candidate A (B3) at the fixed production resolution (21, 20, 19 in the theta/r/z directions) = 6,840 elements, 7,980 nodes, with the groove geometry held fixed (groove depth 0.20, half-width 0.15, uniform radial grading) exactly as decided in 11.5. As in B1/B2, the training objective is the total potential energy functional directly (Pi = U for B3, since the applied load is a prescribed rigid-body rotation rather than an external force, so there is no external-work term); no labeled FEM displacement field ever appears in the loss. The held-out FEM dataset used for every accuracy number below (100 samples, disjoint seeds from training) is used only for evaluation, exactly as in B1/B2.</w:t>
      </w:r>
    </w:p>
    <w:p>
      <w:r>
        <w:t>The first production training run, with the raw E/nu/phi material and loading values fed directly to the network (no input standardization), was unstable: the best checkpoint reached only 26.2% combined displacement relative-L2 error on the held-out set, with the smallest-magnitude component (uy, the axial displacement driven by the rocking rotation) at 93.6% -- worse than a trivial all-zero prediction. The root cause was isolated, not assumed: the raw inputs span three orders of magnitude (E around 1,000, nu around 0.45, phi around 0.05), and a controlled fixed-8-sample A/B test (identical seed, identical 4,000 iterations, raw inputs versus standardized-to-mean-0/std-1 inputs) showed combined error dropping from 10.7% to 1.1% and uy specifically from 54.1% to 4.0% under normalization alone, with a visibly smoother, monotonic loss curve replacing the earlier run’s oscillation between healthy and ~1.0-error states.</w:t>
      </w:r>
    </w:p>
    <w:p>
      <w:r>
        <w:t>A full production retrain with input normalization enabled (50,000 iterations, same architecture and material/loading distributions as the unstable run) confirmed this fix generalizes to the genuinely disjoint held-out set, not just the fixed-pool memorization test: combined displacement relative-L2 error reached 1.88% at the final checkpoint (ux 1.94%, uy 16.16%, uz 1.42%), improving cleanly and mostly monotonically across training rather than oscillating. Real GPU training wall-clock was 6,980.3 s (1 h 57 m), 0.140 s/iteration, essentially identical per-iteration cost to the unnormalized run, confirming normalization adds no meaningful overhead. uy remains the least accurate of the three displacement components, consistent with it being the smallest-magnitude term and therefore contributing proportionally less to a pure energy-minimization loss than the other two components’ own errors.</w:t>
      </w:r>
    </w:p>
    <w:p>
      <w:pPr>
        <w:pStyle w:val="Heading2"/>
      </w:pPr>
      <w:r>
        <w:t>11.7 Accuracy on Displacement, Energy, and Reaction</w:t>
      </w:r>
    </w:p>
    <w:p>
      <w:r>
        <w:t>Beyond raw displacement, the advisor named total strain energy, reaction force/moment, and regional Cauchy stress as the real success criteria for this benchmark. Energy and reaction are computed directly from a known displacement field (true FEM or the network’s own prediction) via the same total-potential-energy functional training already uses, with no new FEM solve: the reaction at a Dirichlet-constrained node is exactly the derivative of total potential energy with respect to displacement there, by the same variational argument any FEM solver uses internally to report reactions, computed here via automatic differentiation on the known field. A translation-invariance identity (hyperelastic energy cannot see a uniform rigid translation of the whole field, so this quantity, summed over every node, must be approximately zero for ANY field, equilibrium or not) was used only as an implementation-correctness sanity check -- confirmed at machine precision (~1e-15) -- not as a proof of solution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type="dxa" w:w="4680"/>
          </w:tcPr>
          <w:p>
            <w:r/>
            <w:r>
              <w:rPr>
                <w:b/>
              </w:rPr>
              <w:t>QoI</w:t>
            </w:r>
          </w:p>
        </w:tc>
        <w:tc>
          <w:tcPr>
            <w:tcW w:type="dxa" w:w="4680"/>
          </w:tcPr>
          <w:p>
            <w:r/>
            <w:r>
              <w:rPr>
                <w:b/>
              </w:rPr>
              <w:t>Mean relative error (checkpoint_50000, 100-sample held-out set)</w:t>
            </w:r>
          </w:p>
        </w:tc>
      </w:tr>
      <w:tr>
        <w:tc>
          <w:tcPr>
            <w:tcW w:type="dxa" w:w="4680"/>
          </w:tcPr>
          <w:p>
            <w:r>
              <w:t>Total strain energy</w:t>
            </w:r>
          </w:p>
        </w:tc>
        <w:tc>
          <w:tcPr>
            <w:tcW w:type="dxa" w:w="4680"/>
          </w:tcPr>
          <w:p>
            <w:r>
              <w:t>0.30%</w:t>
            </w:r>
          </w:p>
        </w:tc>
      </w:tr>
      <w:tr>
        <w:tc>
          <w:tcPr>
            <w:tcW w:type="dxa" w:w="4680"/>
          </w:tcPr>
          <w:p>
            <w:r>
              <w:t>Reaction moment (about the rocking axis)</w:t>
            </w:r>
          </w:p>
        </w:tc>
        <w:tc>
          <w:tcPr>
            <w:tcW w:type="dxa" w:w="4680"/>
          </w:tcPr>
          <w:p>
            <w:r>
              <w:t>2.67%</w:t>
            </w:r>
          </w:p>
        </w:tc>
      </w:tr>
    </w:tbl>
    <w:p>
      <w:r>
        <w:t>Both are well-reproduced quantities, consistent with the operator’s strong displacement accuracy above. Regional Cauchy stress, the third named criterion, required substantially more investigation and is reported separately in 11.8.</w:t>
      </w:r>
    </w:p>
    <w:p>
      <w:pPr>
        <w:pStyle w:val="Heading2"/>
      </w:pPr>
      <w:r>
        <w:t>11.8 Regional Cauchy-Stress: Metric Methodology and Local Integration Refinement</w:t>
      </w:r>
    </w:p>
    <w:p>
      <w:r>
        <w:t>The first region-stress number computed for this checkpoint, a naive relative error on the per-sample signed average of sigma_xx within the fixed groove-neighborhood region, came back at a mean of 1,683.6% -- not a credible measure of a genuinely well-behaved checkpoint that had already reproduced displacement, energy, and reaction well. This was investigated rather than reported at face value or dismissed: the signed-average metric can divide by a near-zero denominator whenever tension and compression partially cancel within the region for a given sample -- the same failure mode this project had already documented once before on a different benchmark. Replacing it with a volume-weighted, quadrature-based full stress-TENSOR relative field error (squaring each quadrature point’s contribution before summing, so a near-zero signed average cannot collapse the denominator) gave a mean of 71.77% / median of 68.45% -- far lower than the naive number, confirming it was substantially a metric artifact, but still far above the 5-10% target. A further contributing factor was identified: at the production resolution (6,840 elements), only 6 Gauss-quadrature points fall inside the fixed groove-neighborhood region, below this project’s own established minimum sample count (20) for reliable statistics.</w:t>
      </w:r>
    </w:p>
    <w:p>
      <w:r>
        <w:t>This was reported to the advisor in full, together with an open question of whether to invest further GPU time in a resolution-changing retrain. His reply redirected the investigation before any such retrain: (1) clarify the exact computation of the field-error metric; (2) report all six independent Cauchy-stress components separately, with their typical magnitudes, plus a tensor error using one common Frobenius-norm normalization across the whole dataset -- to rule out a small component inflating the aggregate (the true Frobenius norm of a symmetric tensor double-counts the off-diagonal shear terms: ||sigma||_F^2 = sigma_xx^2 + sigma_yy^2 + sigma_zz^2 + 2(sigma_xy^2 + sigma_yz^2 + sigma_xz^2)); (3) confirm what the 43,400-element mesh used in an earlier finer-evaluation diagnostic represents; (4) test, FIRST, whether refining the LOCAL numerical integration near the groove -- independently of the operator’s own mesh discretization -- closes the gap, before any resolution-changing retrain or loss-function change; (5) explicitly defer both a groove-specific loss term and multi-resolution training until the region is properly resolved; (6) keep the single-resolution model plus zero-shot finer-resolution evaluation as the primary discretization-invariance check, not superseded by a resolution-changing retrain.</w:t>
      </w:r>
    </w:p>
    <w:p>
      <w:r>
        <w:t>An evaluation-side local-integration-refinement tool was built first, implementing point (4) without any retraining: torch-fem’s own shape-function evaluator accepts arbitrary local coordinates, so a finer internal Gauss-Legendre grid re-samples the SAME already-known coarse-element displacement field (true FEM or the network’s own prediction) at many more internal points, going from 6 to up to 994 region points with the operator’s own 6,840-element discretization completely unchanged -- no new FEM solve, no new network query. A convergence sweep over the refinement level gave: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Refinement level (points per axis)</w:t>
            </w:r>
          </w:p>
        </w:tc>
        <w:tc>
          <w:tcPr>
            <w:tcW w:type="dxa" w:w="2340"/>
          </w:tcPr>
          <w:p>
            <w:r/>
            <w:r>
              <w:rPr>
                <w:b/>
              </w:rPr>
              <w:t>Region quadrature points</w:t>
            </w:r>
          </w:p>
        </w:tc>
        <w:tc>
          <w:tcPr>
            <w:tcW w:type="dxa" w:w="2340"/>
          </w:tcPr>
          <w:p>
            <w:r/>
            <w:r>
              <w:rPr>
                <w:b/>
              </w:rPr>
              <w:t>Pooled Frobenius-norm relative error</w:t>
            </w:r>
          </w:p>
        </w:tc>
        <w:tc>
          <w:tcPr>
            <w:tcW w:type="dxa" w:w="2340"/>
          </w:tcPr>
          <w:p>
            <w:r/>
            <w:r>
              <w:rPr>
                <w:b/>
              </w:rPr>
              <w:t>Change from previous level</w:t>
            </w:r>
          </w:p>
        </w:tc>
      </w:tr>
      <w:tr>
        <w:tc>
          <w:tcPr>
            <w:tcW w:type="dxa" w:w="2340"/>
          </w:tcPr>
          <w:p>
            <w:r>
              <w:t>2</w:t>
            </w:r>
          </w:p>
        </w:tc>
        <w:tc>
          <w:tcPr>
            <w:tcW w:type="dxa" w:w="2340"/>
          </w:tcPr>
          <w:p>
            <w:r>
              <w:t>6</w:t>
            </w:r>
          </w:p>
        </w:tc>
        <w:tc>
          <w:tcPr>
            <w:tcW w:type="dxa" w:w="2340"/>
          </w:tcPr>
          <w:p>
            <w:r>
              <w:t>64.04%</w:t>
            </w:r>
          </w:p>
        </w:tc>
        <w:tc>
          <w:tcPr>
            <w:tcW w:type="dxa" w:w="2340"/>
          </w:tcPr>
          <w:p>
            <w:r>
              <w:t>--</w:t>
            </w:r>
          </w:p>
        </w:tc>
      </w:tr>
      <w:tr>
        <w:tc>
          <w:tcPr>
            <w:tcW w:type="dxa" w:w="2340"/>
          </w:tcPr>
          <w:p>
            <w:r>
              <w:t>4</w:t>
            </w:r>
          </w:p>
        </w:tc>
        <w:tc>
          <w:tcPr>
            <w:tcW w:type="dxa" w:w="2340"/>
          </w:tcPr>
          <w:p>
            <w:r>
              <w:t>36</w:t>
            </w:r>
          </w:p>
        </w:tc>
        <w:tc>
          <w:tcPr>
            <w:tcW w:type="dxa" w:w="2340"/>
          </w:tcPr>
          <w:p>
            <w:r>
              <w:t>60.32%</w:t>
            </w:r>
          </w:p>
        </w:tc>
        <w:tc>
          <w:tcPr>
            <w:tcW w:type="dxa" w:w="2340"/>
          </w:tcPr>
          <w:p>
            <w:r>
              <w:t>5.81%</w:t>
            </w:r>
          </w:p>
        </w:tc>
      </w:tr>
      <w:tr>
        <w:tc>
          <w:tcPr>
            <w:tcW w:type="dxa" w:w="2340"/>
          </w:tcPr>
          <w:p>
            <w:r>
              <w:t>6</w:t>
            </w:r>
          </w:p>
        </w:tc>
        <w:tc>
          <w:tcPr>
            <w:tcW w:type="dxa" w:w="2340"/>
          </w:tcPr>
          <w:p>
            <w:r>
              <w:t>124</w:t>
            </w:r>
          </w:p>
        </w:tc>
        <w:tc>
          <w:tcPr>
            <w:tcW w:type="dxa" w:w="2340"/>
          </w:tcPr>
          <w:p>
            <w:r>
              <w:t>62.39%</w:t>
            </w:r>
          </w:p>
        </w:tc>
        <w:tc>
          <w:tcPr>
            <w:tcW w:type="dxa" w:w="2340"/>
          </w:tcPr>
          <w:p>
            <w:r>
              <w:t>3.44%</w:t>
            </w:r>
          </w:p>
        </w:tc>
      </w:tr>
      <w:tr>
        <w:tc>
          <w:tcPr>
            <w:tcW w:type="dxa" w:w="2340"/>
          </w:tcPr>
          <w:p>
            <w:r>
              <w:t>8</w:t>
            </w:r>
          </w:p>
        </w:tc>
        <w:tc>
          <w:tcPr>
            <w:tcW w:type="dxa" w:w="2340"/>
          </w:tcPr>
          <w:p>
            <w:r>
              <w:t>292</w:t>
            </w:r>
          </w:p>
        </w:tc>
        <w:tc>
          <w:tcPr>
            <w:tcW w:type="dxa" w:w="2340"/>
          </w:tcPr>
          <w:p>
            <w:r>
              <w:t>62.30%</w:t>
            </w:r>
          </w:p>
        </w:tc>
        <w:tc>
          <w:tcPr>
            <w:tcW w:type="dxa" w:w="2340"/>
          </w:tcPr>
          <w:p>
            <w:r>
              <w:t>0.14%</w:t>
            </w:r>
          </w:p>
        </w:tc>
      </w:tr>
      <w:tr>
        <w:tc>
          <w:tcPr>
            <w:tcW w:type="dxa" w:w="2340"/>
          </w:tcPr>
          <w:p>
            <w:r>
              <w:t>10</w:t>
            </w:r>
          </w:p>
        </w:tc>
        <w:tc>
          <w:tcPr>
            <w:tcW w:type="dxa" w:w="2340"/>
          </w:tcPr>
          <w:p>
            <w:r>
              <w:t>566</w:t>
            </w:r>
          </w:p>
        </w:tc>
        <w:tc>
          <w:tcPr>
            <w:tcW w:type="dxa" w:w="2340"/>
          </w:tcPr>
          <w:p>
            <w:r>
              <w:t>62.21%</w:t>
            </w:r>
          </w:p>
        </w:tc>
        <w:tc>
          <w:tcPr>
            <w:tcW w:type="dxa" w:w="2340"/>
          </w:tcPr>
          <w:p>
            <w:r>
              <w:t>0.15%</w:t>
            </w:r>
          </w:p>
        </w:tc>
      </w:tr>
      <w:tr>
        <w:tc>
          <w:tcPr>
            <w:tcW w:type="dxa" w:w="2340"/>
          </w:tcPr>
          <w:p>
            <w:r>
              <w:t>12</w:t>
            </w:r>
          </w:p>
        </w:tc>
        <w:tc>
          <w:tcPr>
            <w:tcW w:type="dxa" w:w="2340"/>
          </w:tcPr>
          <w:p>
            <w:r>
              <w:t>994</w:t>
            </w:r>
          </w:p>
        </w:tc>
        <w:tc>
          <w:tcPr>
            <w:tcW w:type="dxa" w:w="2340"/>
          </w:tcPr>
          <w:p>
            <w:r>
              <w:t>62.32%</w:t>
            </w:r>
          </w:p>
        </w:tc>
        <w:tc>
          <w:tcPr>
            <w:tcW w:type="dxa" w:w="2340"/>
          </w:tcPr>
          <w:p>
            <w:r>
              <w:t>0.18%</w:t>
            </w:r>
          </w:p>
        </w:tc>
      </w:tr>
    </w:tbl>
    <w:p>
      <w:r>
        <w:t>The error stabilizes from a refinement level of 8 onward (successive changes under 0.2%), settling at approximately 62.2-62.3%: per the advisor’s own stated decision criterion, this is a real gap, not a local-integration-count artifact (a true artifact would keep drifting toward zero, or keep changing, as points are added; instead the error converges and stays elevated). The per-component breakdown directly answers point (2)’s concern as well: the error is dominated by the large-magnitude normal stresses (sigma_xx, sigma_yy, sigma_zz, true RMS magnitude roughly 14 to 18), not by the much smaller shear components (sigma_xy, sigma_yz, sigma_xz, true RMS magnitude roughly 0.1 to 2.6) -- so the aggregate is not an artifact of a negligible component dominating a combined metric.</w:t>
      </w:r>
    </w:p>
    <w:p>
      <w:r>
        <w:t>The same local-refinement idea was then implemented on the TRAINING side: the DEM background-integration quadrature used to compute the strain-energy contribution of elements touching the groove region was refined to 10x10x10 points (instead of the standard 2x2x2), for ONLY the four elements (of 6,840) that intersect the fixed region, with the operator’s own mesh, node count, and element count left completely unchanged otherwise -- directly decoupling the DEM integration resolution from the operator’s own discretization, exactly as the advisor asked. A real performance regression was found and fixed during this work, disclosed here rather than only in internal notes: an early implementation recomputed shape functions for the FULL 6,840-element mesh at every fine quadrature point, inside an unvectorized Python loop, on every single training iteration -- 1.685 s/iteration on real GPU data, worse than even a 6.3x increase in the operator’s own resolution, even though only the four region elements’ results were ever used. This was fixed by precomputing shape functions once, before training, from a reduced model built from only the region elements’ own node connectivity, and fully vectorizing the fine-point energy combination -- a 32.5x speedup measured directly against a reconstruction of the original implementation, confirmed to reproduce an identical energy value to about 1e-12 relative precision, and confirmed again on real GPU training data afterward (0.1525 s/iteration, matching the baseline run’s own 0.1396 s/iteration).</w:t>
      </w:r>
    </w:p>
    <w:p>
      <w:r>
        <w:t>Retraining for the same 50,000-iteration budget with this locally-refined DEM integration reduced the converged regional-stress error substantially: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Stress component</w:t>
            </w:r>
          </w:p>
        </w:tc>
        <w:tc>
          <w:tcPr>
            <w:tcW w:type="dxa" w:w="2340"/>
          </w:tcPr>
          <w:p>
            <w:r/>
            <w:r>
              <w:rPr>
                <w:b/>
              </w:rPr>
              <w:t>True RMS magnitude</w:t>
            </w:r>
          </w:p>
        </w:tc>
        <w:tc>
          <w:tcPr>
            <w:tcW w:type="dxa" w:w="2340"/>
          </w:tcPr>
          <w:p>
            <w:r/>
            <w:r>
              <w:rPr>
                <w:b/>
              </w:rPr>
              <w:t>Baseline checkpoint</w:t>
            </w:r>
          </w:p>
        </w:tc>
        <w:tc>
          <w:tcPr>
            <w:tcW w:type="dxa" w:w="2340"/>
          </w:tcPr>
          <w:p>
            <w:r/>
            <w:r>
              <w:rPr>
                <w:b/>
              </w:rPr>
              <w:t>Local-integration-refinement training</w:t>
            </w:r>
          </w:p>
        </w:tc>
      </w:tr>
      <w:tr>
        <w:tc>
          <w:tcPr>
            <w:tcW w:type="dxa" w:w="2340"/>
          </w:tcPr>
          <w:p>
            <w:r>
              <w:t>sigma_xx</w:t>
            </w:r>
          </w:p>
        </w:tc>
        <w:tc>
          <w:tcPr>
            <w:tcW w:type="dxa" w:w="2340"/>
          </w:tcPr>
          <w:p>
            <w:r>
              <w:t>14.02</w:t>
            </w:r>
          </w:p>
        </w:tc>
        <w:tc>
          <w:tcPr>
            <w:tcW w:type="dxa" w:w="2340"/>
          </w:tcPr>
          <w:p>
            <w:r>
              <w:t>67.0%</w:t>
            </w:r>
          </w:p>
        </w:tc>
        <w:tc>
          <w:tcPr>
            <w:tcW w:type="dxa" w:w="2340"/>
          </w:tcPr>
          <w:p>
            <w:r>
              <w:t>32.2%</w:t>
            </w:r>
          </w:p>
        </w:tc>
      </w:tr>
      <w:tr>
        <w:tc>
          <w:tcPr>
            <w:tcW w:type="dxa" w:w="2340"/>
          </w:tcPr>
          <w:p>
            <w:r>
              <w:t>sigma_yy</w:t>
            </w:r>
          </w:p>
        </w:tc>
        <w:tc>
          <w:tcPr>
            <w:tcW w:type="dxa" w:w="2340"/>
          </w:tcPr>
          <w:p>
            <w:r>
              <w:t>14.94</w:t>
            </w:r>
          </w:p>
        </w:tc>
        <w:tc>
          <w:tcPr>
            <w:tcW w:type="dxa" w:w="2340"/>
          </w:tcPr>
          <w:p>
            <w:r>
              <w:t>63.1%</w:t>
            </w:r>
          </w:p>
        </w:tc>
        <w:tc>
          <w:tcPr>
            <w:tcW w:type="dxa" w:w="2340"/>
          </w:tcPr>
          <w:p>
            <w:r>
              <w:t>29.9%</w:t>
            </w:r>
          </w:p>
        </w:tc>
      </w:tr>
      <w:tr>
        <w:tc>
          <w:tcPr>
            <w:tcW w:type="dxa" w:w="2340"/>
          </w:tcPr>
          <w:p>
            <w:r>
              <w:t>sigma_zz</w:t>
            </w:r>
          </w:p>
        </w:tc>
        <w:tc>
          <w:tcPr>
            <w:tcW w:type="dxa" w:w="2340"/>
          </w:tcPr>
          <w:p>
            <w:r>
              <w:t>18.24</w:t>
            </w:r>
          </w:p>
        </w:tc>
        <w:tc>
          <w:tcPr>
            <w:tcW w:type="dxa" w:w="2340"/>
          </w:tcPr>
          <w:p>
            <w:r>
              <w:t>59.6%</w:t>
            </w:r>
          </w:p>
        </w:tc>
        <w:tc>
          <w:tcPr>
            <w:tcW w:type="dxa" w:w="2340"/>
          </w:tcPr>
          <w:p>
            <w:r>
              <w:t>28.4%</w:t>
            </w:r>
          </w:p>
        </w:tc>
      </w:tr>
      <w:tr>
        <w:tc>
          <w:tcPr>
            <w:tcW w:type="dxa" w:w="2340"/>
          </w:tcPr>
          <w:p>
            <w:r>
              <w:t>sigma_xy</w:t>
            </w:r>
          </w:p>
        </w:tc>
        <w:tc>
          <w:tcPr>
            <w:tcW w:type="dxa" w:w="2340"/>
          </w:tcPr>
          <w:p>
            <w:r>
              <w:t>0.113</w:t>
            </w:r>
          </w:p>
        </w:tc>
        <w:tc>
          <w:tcPr>
            <w:tcW w:type="dxa" w:w="2340"/>
          </w:tcPr>
          <w:p>
            <w:r>
              <w:t>42.9%</w:t>
            </w:r>
          </w:p>
        </w:tc>
        <w:tc>
          <w:tcPr>
            <w:tcW w:type="dxa" w:w="2340"/>
          </w:tcPr>
          <w:p>
            <w:r>
              <w:t>100.9%</w:t>
            </w:r>
          </w:p>
        </w:tc>
      </w:tr>
      <w:tr>
        <w:tc>
          <w:tcPr>
            <w:tcW w:type="dxa" w:w="2340"/>
          </w:tcPr>
          <w:p>
            <w:r>
              <w:t>sigma_yz</w:t>
            </w:r>
          </w:p>
        </w:tc>
        <w:tc>
          <w:tcPr>
            <w:tcW w:type="dxa" w:w="2340"/>
          </w:tcPr>
          <w:p>
            <w:r>
              <w:t>0.205</w:t>
            </w:r>
          </w:p>
        </w:tc>
        <w:tc>
          <w:tcPr>
            <w:tcW w:type="dxa" w:w="2340"/>
          </w:tcPr>
          <w:p>
            <w:r>
              <w:t>33.7%</w:t>
            </w:r>
          </w:p>
        </w:tc>
        <w:tc>
          <w:tcPr>
            <w:tcW w:type="dxa" w:w="2340"/>
          </w:tcPr>
          <w:p>
            <w:r>
              <w:t>43.1%</w:t>
            </w:r>
          </w:p>
        </w:tc>
      </w:tr>
      <w:tr>
        <w:tc>
          <w:tcPr>
            <w:tcW w:type="dxa" w:w="2340"/>
          </w:tcPr>
          <w:p>
            <w:r>
              <w:t>sigma_xz</w:t>
            </w:r>
          </w:p>
        </w:tc>
        <w:tc>
          <w:tcPr>
            <w:tcW w:type="dxa" w:w="2340"/>
          </w:tcPr>
          <w:p>
            <w:r>
              <w:t>2.603</w:t>
            </w:r>
          </w:p>
        </w:tc>
        <w:tc>
          <w:tcPr>
            <w:tcW w:type="dxa" w:w="2340"/>
          </w:tcPr>
          <w:p>
            <w:r>
              <w:t>28.7%</w:t>
            </w:r>
          </w:p>
        </w:tc>
        <w:tc>
          <w:tcPr>
            <w:tcW w:type="dxa" w:w="2340"/>
          </w:tcPr>
          <w:p>
            <w:r>
              <w:t>21.0%</w:t>
            </w:r>
          </w:p>
        </w:tc>
      </w:tr>
      <w:tr>
        <w:tc>
          <w:tcPr>
            <w:tcW w:type="dxa" w:w="2340"/>
          </w:tcPr>
          <w:p>
            <w:r>
              <w:t>Pooled Frobenius norm (all six components)</w:t>
            </w:r>
          </w:p>
        </w:tc>
        <w:tc>
          <w:tcPr>
            <w:tcW w:type="dxa" w:w="2340"/>
          </w:tcPr>
          <w:p>
            <w:r>
              <w:t>--</w:t>
            </w:r>
          </w:p>
        </w:tc>
        <w:tc>
          <w:tcPr>
            <w:tcW w:type="dxa" w:w="2340"/>
          </w:tcPr>
          <w:p>
            <w:r>
              <w:t>62.4%</w:t>
            </w:r>
          </w:p>
        </w:tc>
        <w:tc>
          <w:tcPr>
            <w:tcW w:type="dxa" w:w="2340"/>
          </w:tcPr>
          <w:p>
            <w:r>
              <w:t>29.8%</w:t>
            </w:r>
          </w:p>
        </w:tc>
      </w:tr>
    </w:tbl>
    <w:p>
      <w:r>
        <w:t>The three large-magnitude normal stresses, which dominate the pooled Frobenius norm, all improved by roughly half. The two smallest-magnitude shear components (sigma_xy, sigma_yz) instead got worse in relative terms, while sigma_xz improved; given their tiny absolute magnitude and sign-changing behavior within the region, this is reported as-is rather than over-interpreted, and does not meaningfully move the pooled metric, which remains dominated by the normal stresses as confirmed above. Refining only the DEM background-integration quadrature in the groove region during training -- without changing the operator’s own mesh, node count, or element count at all -- roughly halves the regional-stress error, directly confirming the advisor’s hypothesis that the operator’s discretization and the DEM integration resolution had been conflated in the original setup.</w:t>
      </w:r>
    </w:p>
    <w:p>
      <w:r>
        <w:t>Reporting this real, substantial, but partial result, the advisor’s reply was decisive: report the regional Cauchy-stress QoI, as measured (62.2-62.3% reduced to 29.7-29.9% by local integration refinement, still above the 5-10% target), as a documented limitation of this benchmark for the present report, rather than a fully resolved result or an item still being actively chased. Further work on it -- a stress/equilibrium-aware physics loss, a mixed displacement-stress formulation, PINO-type residual enforcement, a local or hierarchical representation with more capacity in stress-critical regions, data-driven stress supervision, a hybrid physics-informed-plus-supervised approach, or further study of separating the physics-integration resolution from the operator’s own resolution -- is explicitly deferred to a planned follow-up publication, not attempted in this report.</w:t>
      </w:r>
    </w:p>
    <w:p>
      <w:pPr>
        <w:pStyle w:val="Heading2"/>
      </w:pPr>
      <w:r>
        <w:t>11.9 Accuracy-Matched FEM/VINO Comparison and Break-Even Analysis</w:t>
      </w:r>
    </w:p>
    <w:p>
      <w:r>
        <w:t>Per the advisor’s request to finish this report, the accuracy-matched FEM/VINO comparison and break-even analysis already built for B1/B2 (8.6) was completed for the three QoIs reported above as well-reproduced (displacement, energy, reaction); regional stress is excluded from this comparison, reported separately as the limitation in 11.8.</w:t>
      </w:r>
    </w:p>
    <w:p>
      <w:r>
        <w:t>A genuinely apples-to-apples accuracy-matched comparison requires the operator’s own error to be measured against an INDEPENDENT fine reference, not against the same 6,840-element mesh it trained on: that mesh itself still carries real discretization error against a converged solution (this project’s own required-resolution study needs 9,464 elements for 1% displacement accuracy). Ten held-out samples were therefore re-solved at the already-established 43,400-element fine evaluation mesh (interpolating each sample’s own material field onto the finer mesh, a genuinely new nonlinear FEM solve, clean Newton convergence throughout, force-residual around 1e-14), and the SAME trained network was queried zero-shot at that finer mesh’s own node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QoI</w:t>
            </w:r>
          </w:p>
        </w:tc>
        <w:tc>
          <w:tcPr>
            <w:tcW w:type="dxa" w:w="3120"/>
          </w:tcPr>
          <w:p>
            <w:r/>
            <w:r>
              <w:rPr>
                <w:b/>
              </w:rPr>
              <w:t>Operator error vs. its own 6,840-element training mesh (not apples-to-apples)</w:t>
            </w:r>
          </w:p>
        </w:tc>
        <w:tc>
          <w:tcPr>
            <w:tcW w:type="dxa" w:w="3120"/>
          </w:tcPr>
          <w:p>
            <w:r/>
            <w:r>
              <w:rPr>
                <w:b/>
              </w:rPr>
              <w:t>Operator error vs. the independent 43,400-element fine reference (correct comparison)</w:t>
            </w:r>
          </w:p>
        </w:tc>
      </w:tr>
      <w:tr>
        <w:tc>
          <w:tcPr>
            <w:tcW w:type="dxa" w:w="3120"/>
          </w:tcPr>
          <w:p>
            <w:r>
              <w:t>Displacement (combined)</w:t>
            </w:r>
          </w:p>
        </w:tc>
        <w:tc>
          <w:tcPr>
            <w:tcW w:type="dxa" w:w="3120"/>
          </w:tcPr>
          <w:p>
            <w:r>
              <w:t>1.88%</w:t>
            </w:r>
          </w:p>
        </w:tc>
        <w:tc>
          <w:tcPr>
            <w:tcW w:type="dxa" w:w="3120"/>
          </w:tcPr>
          <w:p>
            <w:r>
              <w:t>2.03%</w:t>
            </w:r>
          </w:p>
        </w:tc>
      </w:tr>
      <w:tr>
        <w:tc>
          <w:tcPr>
            <w:tcW w:type="dxa" w:w="3120"/>
          </w:tcPr>
          <w:p>
            <w:r>
              <w:t>Energy (pooled RMS)</w:t>
            </w:r>
          </w:p>
        </w:tc>
        <w:tc>
          <w:tcPr>
            <w:tcW w:type="dxa" w:w="3120"/>
          </w:tcPr>
          <w:p>
            <w:r>
              <w:t>0.30%</w:t>
            </w:r>
          </w:p>
        </w:tc>
        <w:tc>
          <w:tcPr>
            <w:tcW w:type="dxa" w:w="3120"/>
          </w:tcPr>
          <w:p>
            <w:r>
              <w:t>2.30%</w:t>
            </w:r>
          </w:p>
        </w:tc>
      </w:tr>
      <w:tr>
        <w:tc>
          <w:tcPr>
            <w:tcW w:type="dxa" w:w="3120"/>
          </w:tcPr>
          <w:p>
            <w:r>
              <w:t>Reaction moment (pooled RMS)</w:t>
            </w:r>
          </w:p>
        </w:tc>
        <w:tc>
          <w:tcPr>
            <w:tcW w:type="dxa" w:w="3120"/>
          </w:tcPr>
          <w:p>
            <w:r>
              <w:t>2.67%</w:t>
            </w:r>
          </w:p>
        </w:tc>
        <w:tc>
          <w:tcPr>
            <w:tcW w:type="dxa" w:w="3120"/>
          </w:tcPr>
          <w:p>
            <w:r>
              <w:t>2.22%</w:t>
            </w:r>
          </w:p>
        </w:tc>
      </w:tr>
    </w:tbl>
    <w:p>
      <w:r>
        <w:t>Displacement accuracy barely changed (the 6,840-element mesh was already close to converged for this quantity); the energy comparison moved more, since the 6,840-element FEM’s own energy value is only within about 0.8% of the fine reference per the required-resolution table, so part of the earlier 0.30% number was being measured against a not-fully-converged reference. Both numbers are now genuinely comparable to the cheap-FEM errors used in the break-even analysis below, which are likewise measured against the same kind of independent fine reference.</w:t>
      </w:r>
    </w:p>
    <w:p>
      <w:r>
        <w:t>Two separate break-even comparisons are reported together, following the same convention as 8.6: resolution-matched (operator and FEM both at the operator’s own 6,840-element resolution) and accuracy-matched (the cheapest FEM mesh whose own error against the independent fine reference is at least as good as the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Comparison</w:t>
            </w:r>
          </w:p>
        </w:tc>
        <w:tc>
          <w:tcPr>
            <w:tcW w:type="dxa" w:w="1560"/>
          </w:tcPr>
          <w:p>
            <w:r/>
            <w:r>
              <w:rPr>
                <w:b/>
              </w:rPr>
              <w:t>Operator error</w:t>
            </w:r>
          </w:p>
        </w:tc>
        <w:tc>
          <w:tcPr>
            <w:tcW w:type="dxa" w:w="1560"/>
          </w:tcPr>
          <w:p>
            <w:r/>
            <w:r>
              <w:rPr>
                <w:b/>
              </w:rPr>
              <w:t>Matched FEM mesh</w:t>
            </w:r>
          </w:p>
        </w:tc>
        <w:tc>
          <w:tcPr>
            <w:tcW w:type="dxa" w:w="1560"/>
          </w:tcPr>
          <w:p>
            <w:r/>
            <w:r>
              <w:rPr>
                <w:b/>
              </w:rPr>
              <w:t>FEM time per sample</w:t>
            </w:r>
          </w:p>
        </w:tc>
        <w:tc>
          <w:tcPr>
            <w:tcW w:type="dxa" w:w="1560"/>
          </w:tcPr>
          <w:p>
            <w:r/>
            <w:r>
              <w:rPr>
                <w:b/>
              </w:rPr>
              <w:t>Speed-up</w:t>
            </w:r>
          </w:p>
        </w:tc>
        <w:tc>
          <w:tcPr>
            <w:tcW w:type="dxa" w:w="1560"/>
          </w:tcPr>
          <w:p>
            <w:r/>
            <w:r>
              <w:rPr>
                <w:b/>
              </w:rPr>
              <w:t>Break-even (samples)</w:t>
            </w:r>
          </w:p>
        </w:tc>
      </w:tr>
      <w:tr>
        <w:tc>
          <w:tcPr>
            <w:tcW w:type="dxa" w:w="1560"/>
          </w:tcPr>
          <w:p>
            <w:r>
              <w:t>Resolution-matched (both at 6,840 elements)</w:t>
            </w:r>
          </w:p>
        </w:tc>
        <w:tc>
          <w:tcPr>
            <w:tcW w:type="dxa" w:w="1560"/>
          </w:tcPr>
          <w:p>
            <w:r>
              <w:t>--</w:t>
            </w:r>
          </w:p>
        </w:tc>
        <w:tc>
          <w:tcPr>
            <w:tcW w:type="dxa" w:w="1560"/>
          </w:tcPr>
          <w:p>
            <w:r>
              <w:t>6,840 elements</w:t>
            </w:r>
          </w:p>
        </w:tc>
        <w:tc>
          <w:tcPr>
            <w:tcW w:type="dxa" w:w="1560"/>
          </w:tcPr>
          <w:p>
            <w:r>
              <w:t>5,060.4 ms</w:t>
            </w:r>
          </w:p>
        </w:tc>
        <w:tc>
          <w:tcPr>
            <w:tcW w:type="dxa" w:w="1560"/>
          </w:tcPr>
          <w:p>
            <w:r>
              <w:t>800.7x</w:t>
            </w:r>
          </w:p>
        </w:tc>
        <w:tc>
          <w:tcPr>
            <w:tcW w:type="dxa" w:w="1560"/>
          </w:tcPr>
          <w:p>
            <w:r>
              <w:t>1,381</w:t>
            </w:r>
          </w:p>
        </w:tc>
      </w:tr>
      <w:tr>
        <w:tc>
          <w:tcPr>
            <w:tcW w:type="dxa" w:w="1560"/>
          </w:tcPr>
          <w:p>
            <w:r>
              <w:t>Accuracy-matched: displacement</w:t>
            </w:r>
          </w:p>
        </w:tc>
        <w:tc>
          <w:tcPr>
            <w:tcW w:type="dxa" w:w="1560"/>
          </w:tcPr>
          <w:p>
            <w:r>
              <w:t>2.03%</w:t>
            </w:r>
          </w:p>
        </w:tc>
        <w:tc>
          <w:tcPr>
            <w:tcW w:type="dxa" w:w="1560"/>
          </w:tcPr>
          <w:p>
            <w:r>
              <w:t>3,240 elements</w:t>
            </w:r>
          </w:p>
        </w:tc>
        <w:tc>
          <w:tcPr>
            <w:tcW w:type="dxa" w:w="1560"/>
          </w:tcPr>
          <w:p>
            <w:r>
              <w:t>4,083.9 ms</w:t>
            </w:r>
          </w:p>
        </w:tc>
        <w:tc>
          <w:tcPr>
            <w:tcW w:type="dxa" w:w="1560"/>
          </w:tcPr>
          <w:p>
            <w:r>
              <w:t>646.2x</w:t>
            </w:r>
          </w:p>
        </w:tc>
        <w:tc>
          <w:tcPr>
            <w:tcW w:type="dxa" w:w="1560"/>
          </w:tcPr>
          <w:p>
            <w:r>
              <w:t>1,712</w:t>
            </w:r>
          </w:p>
        </w:tc>
      </w:tr>
      <w:tr>
        <w:tc>
          <w:tcPr>
            <w:tcW w:type="dxa" w:w="1560"/>
          </w:tcPr>
          <w:p>
            <w:r>
              <w:t>Accuracy-matched: energy</w:t>
            </w:r>
          </w:p>
        </w:tc>
        <w:tc>
          <w:tcPr>
            <w:tcW w:type="dxa" w:w="1560"/>
          </w:tcPr>
          <w:p>
            <w:r>
              <w:t>2.30%</w:t>
            </w:r>
          </w:p>
        </w:tc>
        <w:tc>
          <w:tcPr>
            <w:tcW w:type="dxa" w:w="1560"/>
          </w:tcPr>
          <w:p>
            <w:r>
              <w:t>600 elements</w:t>
            </w:r>
          </w:p>
        </w:tc>
        <w:tc>
          <w:tcPr>
            <w:tcW w:type="dxa" w:w="1560"/>
          </w:tcPr>
          <w:p>
            <w:r>
              <w:t>3,723.1 ms</w:t>
            </w:r>
          </w:p>
        </w:tc>
        <w:tc>
          <w:tcPr>
            <w:tcW w:type="dxa" w:w="1560"/>
          </w:tcPr>
          <w:p>
            <w:r>
              <w:t>589.1x</w:t>
            </w:r>
          </w:p>
        </w:tc>
        <w:tc>
          <w:tcPr>
            <w:tcW w:type="dxa" w:w="1560"/>
          </w:tcPr>
          <w:p>
            <w:r>
              <w:t>1,878</w:t>
            </w:r>
          </w:p>
        </w:tc>
      </w:tr>
      <w:tr>
        <w:tc>
          <w:tcPr>
            <w:tcW w:type="dxa" w:w="1560"/>
          </w:tcPr>
          <w:p>
            <w:r>
              <w:t>Accuracy-matched: reaction moment</w:t>
            </w:r>
          </w:p>
        </w:tc>
        <w:tc>
          <w:tcPr>
            <w:tcW w:type="dxa" w:w="1560"/>
          </w:tcPr>
          <w:p>
            <w:r>
              <w:t>2.22%</w:t>
            </w:r>
          </w:p>
        </w:tc>
        <w:tc>
          <w:tcPr>
            <w:tcW w:type="dxa" w:w="1560"/>
          </w:tcPr>
          <w:p>
            <w:r>
              <w:t>9,464 elements</w:t>
            </w:r>
          </w:p>
        </w:tc>
        <w:tc>
          <w:tcPr>
            <w:tcW w:type="dxa" w:w="1560"/>
          </w:tcPr>
          <w:p>
            <w:r>
              <w:t>4,672.1 ms</w:t>
            </w:r>
          </w:p>
        </w:tc>
        <w:tc>
          <w:tcPr>
            <w:tcW w:type="dxa" w:w="1560"/>
          </w:tcPr>
          <w:p>
            <w:r>
              <w:t>739.3x</w:t>
            </w:r>
          </w:p>
        </w:tc>
        <w:tc>
          <w:tcPr>
            <w:tcW w:type="dxa" w:w="1560"/>
          </w:tcPr>
          <w:p>
            <w:r>
              <w:t>1,496</w:t>
            </w:r>
          </w:p>
        </w:tc>
      </w:tr>
    </w:tbl>
    <w:p>
      <w:r>
        <w:t>The one-off training cost (6,980.3 s, under 2 GPU-hours) is repaid within fewer than 1,900 solves for every one of the three QoIs, even judged against the cheapest FEM mesh that matches the operator’s own accuracy rather than the full production mesh -- a small fraction of the number of solves typically needed in any real deployment or dataset-generation setting. This completes the accuracy-matched comparison and break-even analysis requested for this benchmark.</w:t>
      </w:r>
    </w:p>
    <w:p>
      <w:pPr>
        <w:pStyle w:val="Heading2"/>
      </w:pPr>
      <w:r>
        <w:t>11.10 Status</w:t>
      </w:r>
    </w:p>
    <w:p>
      <w:r>
        <w:t>Dataset generation, operator training, and the full FEM-versus-operator comparison on displacement, energy, reaction, and regional Cauchy-stress QoIs (the four numerical steps 11.5 identified as remaining) are now complete. Displacement, energy, and reaction are well reproduced, with a completed accuracy-matched comparison and break-even analysis (11.9). Regional Cauchy-stress is reported as a documented limitation (11.8): local integration refinement, applied on both the evaluation and training sides, roughly halves the error (62.2-62.3% to 29.7-29.9%) without changing the operator’s own discretization, confirming the gap was partly, but not entirely, a DEM-integration-resolution artifact; the remaining gap above the 5-10% target is left as an explicitly deferred item for a planned follow-up publication, per the advisor’s own decision, rather than pursued further in this report.</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