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p>
      <w:pPr>
        <w:pStyle w:val="Heading1"/>
      </w:pPr>
      <w:r>
        <w:t>11. Third Benchmark Candidate: a 3D Rocking Rubber-Mount Bushing (Two Design Variants Compared)</w:t>
      </w:r>
    </w:p>
    <w:p>
      <w:r>
        <w:rPr>
          <w:i w:val="0"/>
        </w:rPr>
        <w:t>Item 4 of the previous round requested a new, harder, more realistic 3D example beyond the B1/B2 benchmark pair. Two geometry/kinematics variants of a rocking elastomeric rubber-mount bushing were carried to a full GPU mesh-convergence study, to the same single-material (Neo-Hookean), no-contact scope used throughout this report: (A) a bushing with a sharper stress-concentrating groove in its rigid inner core ("B3"); and (B) a laminated bushing with rigid steel shims bonded between rubber layers ("rigid-shim"). A third alternative, a tire sector, was also prepared in an earlier round (see 11.1) but was not carried forward once both rocking-bushing variants reached a validated, GPU-confirmed convergence result -- it is kept here only as a documented step in the design history, not as a live candidate. Dataset generation and neural-operator training have not started for either (A) or (B); that step depends on the choice made between them.</w:t>
      </w:r>
    </w:p>
    <w:p>
      <w:pPr>
        <w:pStyle w:val="Heading2"/>
      </w:pPr>
      <w:r>
        <w:t>11.1 Geometry refinement and design history</w:t>
      </w:r>
    </w:p>
    <w:p>
      <w:r>
        <w:rPr>
          <w:i w:val="0"/>
        </w:rPr>
        <w:t>The bushing geometry went through two substantive revisions before reaching its current form. The first draft was a thin plate with a circular hole under uniaxial tension -- rejected as both the wrong shape category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The core's prescribed motion is a true rigid-body rotation (coupled u_x and u_z), not a linear small-angle approximation, which was verified to silently assume zero axial displacement -- wrong for a real tilt.</w:t>
      </w:r>
    </w:p>
    <w:p>
      <w:r>
        <w:rPr>
          <w:i w:val="0"/>
        </w:rPr>
        <w:t>A separate second candidate axis was explored in parallel for the same rocking-bushing shape: a laminated construction with a rigid steel core sleeve, a rigid outer housing, and one or more thin cylindrical steel shims embedded within the rubber annulus (a layout used in real elastomeric mounts to tune stiffness). A tire sector -- a genuine torus segment swept through a limited circumferential angle, not a straight extrusion -- was also built and brought to a lightweight preliminary convergence check in an earlier round, but was not developed further once the laminated-shim bushing reached a working state, since it kept the project within a single geometry family (the rocking bushing) rather than introducing a second, unrelated shape.</w:t>
      </w:r>
    </w:p>
    <w:p>
      <w:r>
        <w:rPr>
          <w:i w:val="0"/>
        </w:rPr>
        <w:t>The laminated-shim design was first implemented with the steel shims modeled as ordinary deformable finite elements (Neo-Hookean parameters scaled to steel's much higher stiffness). At 105,456 elements, both a custom Jacobi-preconditioned conjugate-gradient solver and a GPU AmgX solver failed to converge the resulting linear system. This was root-caused, not assumed, to the extreme stiffness ratio between steel and rubber badly conditioning the global stiffness matrix -- a fundamental property of modeling both materials as ordinary deformable continua in the same mesh, not a Newton-robustness symptom fixable by load stepping alone. The fix removes the stiffness ratio from the linear system entirely: each steel shim is instead treated as an exactly rigid body ("rigid-shim"), condensed to 6 rigid-body degrees of freedom determined by force/moment equilibrium with the surrounding rubber, via a custom kinematic-condensation reduced system (torch-fem has no native rigid multi-point-constraint support, so this reduction is this project's own code). This was confirmed directly, not assumed: the rigid-shim model converges cleanly at exactly 105,456 elements, the same resolution that broke the deformable-steel version, and at every resolution tested since.</w:t>
      </w:r>
    </w:p>
    <w:p>
      <w:pPr>
        <w:pStyle w:val="Heading2"/>
      </w:pPr>
      <w:r>
        <w:t>11.2 Candidate A: B3 with a sharper groove -- full GPU mesh-convergence study</w:t>
      </w:r>
    </w:p>
    <w:p>
      <w:r>
        <w:rPr>
          <w:i w:val="0"/>
        </w:rPr>
        <w:t>The groove depth was increased from the original design's 0.05 to 0.20 (half-width held fixed at 0.15), giving a closed-form groove radius of curvature rho = 2w^2/(d*pi^2) of 0.0228 -- exactly one quarter of the original 0.0912 baseline value, since rho is inversely proportional to depth at fixed half-width -- deliberately sharpening the stress concentration that drives this benchmark's convergence behavior. Radial mesh grading was left uniform (r_grading = 1.0). Load is applied over 10 increments (lambda = 0.1, 0.2, ..., 1.0), following the trivial, unloaded lambda = 0 starting state. The primary quantity of interest (QoI) is the regional Cauchy-stress field error near the groove -- a volume-weighted, quadrature-based comparison of the full stress tensor against a converged reference solution (see 11.2.1 for the methodology this metric relies on); displacement L2 error against the same reference is reported alongside as a secondary check.</w:t>
      </w:r>
    </w:p>
    <w:p>
      <w:r>
        <w:rPr>
          <w:i w:val="0"/>
        </w:rPr>
        <w:t>A full 13-point GPU mesh-convergence ladder was run on an A100, from 336 to 950,400 elements, completing in 40 minutes 41 seconds total -- a ~2,830x range in element count. Newton/CG iteration counts grew only mildly and smoothly across the whole range (roughly 21 to 28 iterations), indicating stable, robust nonlinear convergence at every mesh density tested; no cutbacks or divergence were needed anywhere in this ladder.</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336</w:t>
            </w:r>
          </w:p>
        </w:tc>
        <w:tc>
          <w:tcPr>
            <w:tcW w:type="dxa" w:w="3120"/>
          </w:tcPr>
          <w:p>
            <w:r>
              <w:t>1222.93%</w:t>
            </w:r>
          </w:p>
        </w:tc>
        <w:tc>
          <w:tcPr>
            <w:tcW w:type="dxa" w:w="3120"/>
          </w:tcPr>
          <w:p>
            <w:r>
              <w:t>5.91%</w:t>
            </w:r>
          </w:p>
        </w:tc>
      </w:tr>
      <w:tr>
        <w:tc>
          <w:tcPr>
            <w:tcW w:type="dxa" w:w="3120"/>
          </w:tcPr>
          <w:p>
            <w:r>
              <w:t>1,320</w:t>
            </w:r>
          </w:p>
        </w:tc>
        <w:tc>
          <w:tcPr>
            <w:tcW w:type="dxa" w:w="3120"/>
          </w:tcPr>
          <w:p>
            <w:r>
              <w:t>318.42%</w:t>
            </w:r>
          </w:p>
        </w:tc>
        <w:tc>
          <w:tcPr>
            <w:tcW w:type="dxa" w:w="3120"/>
          </w:tcPr>
          <w:p>
            <w:r>
              <w:t>3.35%</w:t>
            </w:r>
          </w:p>
        </w:tc>
      </w:tr>
      <w:tr>
        <w:tc>
          <w:tcPr>
            <w:tcW w:type="dxa" w:w="3120"/>
          </w:tcPr>
          <w:p>
            <w:r>
              <w:t>3,360</w:t>
            </w:r>
          </w:p>
        </w:tc>
        <w:tc>
          <w:tcPr>
            <w:tcW w:type="dxa" w:w="3120"/>
          </w:tcPr>
          <w:p>
            <w:r>
              <w:t>1262.82%</w:t>
            </w:r>
          </w:p>
        </w:tc>
        <w:tc>
          <w:tcPr>
            <w:tcW w:type="dxa" w:w="3120"/>
          </w:tcPr>
          <w:p>
            <w:r>
              <w:t>3.43%</w:t>
            </w:r>
          </w:p>
        </w:tc>
      </w:tr>
      <w:tr>
        <w:tc>
          <w:tcPr>
            <w:tcW w:type="dxa" w:w="3120"/>
          </w:tcPr>
          <w:p>
            <w:r>
              <w:t>6,840</w:t>
            </w:r>
          </w:p>
        </w:tc>
        <w:tc>
          <w:tcPr>
            <w:tcW w:type="dxa" w:w="3120"/>
          </w:tcPr>
          <w:p>
            <w:r>
              <w:t>807.48%</w:t>
            </w:r>
          </w:p>
        </w:tc>
        <w:tc>
          <w:tcPr>
            <w:tcW w:type="dxa" w:w="3120"/>
          </w:tcPr>
          <w:p>
            <w:r>
              <w:t>2.30%</w:t>
            </w:r>
          </w:p>
        </w:tc>
      </w:tr>
      <w:tr>
        <w:tc>
          <w:tcPr>
            <w:tcW w:type="dxa" w:w="3120"/>
          </w:tcPr>
          <w:p>
            <w:r>
              <w:t>18,200</w:t>
            </w:r>
          </w:p>
        </w:tc>
        <w:tc>
          <w:tcPr>
            <w:tcW w:type="dxa" w:w="3120"/>
          </w:tcPr>
          <w:p>
            <w:r>
              <w:t>382.26%</w:t>
            </w:r>
          </w:p>
        </w:tc>
        <w:tc>
          <w:tcPr>
            <w:tcW w:type="dxa" w:w="3120"/>
          </w:tcPr>
          <w:p>
            <w:r>
              <w:t>1.53%</w:t>
            </w:r>
          </w:p>
        </w:tc>
      </w:tr>
      <w:tr>
        <w:tc>
          <w:tcPr>
            <w:tcW w:type="dxa" w:w="3120"/>
          </w:tcPr>
          <w:p>
            <w:r>
              <w:t>79,464</w:t>
            </w:r>
          </w:p>
        </w:tc>
        <w:tc>
          <w:tcPr>
            <w:tcW w:type="dxa" w:w="3120"/>
          </w:tcPr>
          <w:p>
            <w:r>
              <w:t>81.05%</w:t>
            </w:r>
          </w:p>
        </w:tc>
        <w:tc>
          <w:tcPr>
            <w:tcW w:type="dxa" w:w="3120"/>
          </w:tcPr>
          <w:p>
            <w:r>
              <w:t>0.70%</w:t>
            </w:r>
          </w:p>
        </w:tc>
      </w:tr>
      <w:tr>
        <w:tc>
          <w:tcPr>
            <w:tcW w:type="dxa" w:w="3120"/>
          </w:tcPr>
          <w:p>
            <w:r>
              <w:t>201,780</w:t>
            </w:r>
          </w:p>
        </w:tc>
        <w:tc>
          <w:tcPr>
            <w:tcW w:type="dxa" w:w="3120"/>
          </w:tcPr>
          <w:p>
            <w:r>
              <w:t>24.60%</w:t>
            </w:r>
          </w:p>
        </w:tc>
        <w:tc>
          <w:tcPr>
            <w:tcW w:type="dxa" w:w="3120"/>
          </w:tcPr>
          <w:p>
            <w:r>
              <w:t>0.34%</w:t>
            </w:r>
          </w:p>
        </w:tc>
      </w:tr>
      <w:tr>
        <w:tc>
          <w:tcPr>
            <w:tcW w:type="dxa" w:w="3120"/>
          </w:tcPr>
          <w:p>
            <w:r>
              <w:t>480,320</w:t>
            </w:r>
          </w:p>
        </w:tc>
        <w:tc>
          <w:tcPr>
            <w:tcW w:type="dxa" w:w="3120"/>
          </w:tcPr>
          <w:p>
            <w:r>
              <w:t>5.69%</w:t>
            </w:r>
          </w:p>
        </w:tc>
        <w:tc>
          <w:tcPr>
            <w:tcW w:type="dxa" w:w="3120"/>
          </w:tcPr>
          <w:p>
            <w:r>
              <w:t>0.12%</w:t>
            </w:r>
          </w:p>
        </w:tc>
      </w:tr>
      <w:tr>
        <w:tc>
          <w:tcPr>
            <w:tcW w:type="dxa" w:w="3120"/>
          </w:tcPr>
          <w:p>
            <w:r>
              <w:t>557,760</w:t>
            </w:r>
          </w:p>
        </w:tc>
        <w:tc>
          <w:tcPr>
            <w:tcW w:type="dxa" w:w="3120"/>
          </w:tcPr>
          <w:p>
            <w:r>
              <w:t>3.76%</w:t>
            </w:r>
          </w:p>
        </w:tc>
        <w:tc>
          <w:tcPr>
            <w:tcW w:type="dxa" w:w="3120"/>
          </w:tcPr>
          <w:p>
            <w:r>
              <w:t>0.09%</w:t>
            </w:r>
          </w:p>
        </w:tc>
      </w:tr>
      <w:tr>
        <w:tc>
          <w:tcPr>
            <w:tcW w:type="dxa" w:w="3120"/>
          </w:tcPr>
          <w:p>
            <w:r>
              <w:t>643,104</w:t>
            </w:r>
          </w:p>
        </w:tc>
        <w:tc>
          <w:tcPr>
            <w:tcW w:type="dxa" w:w="3120"/>
          </w:tcPr>
          <w:p>
            <w:r>
              <w:t>2.25%</w:t>
            </w:r>
          </w:p>
        </w:tc>
        <w:tc>
          <w:tcPr>
            <w:tcW w:type="dxa" w:w="3120"/>
          </w:tcPr>
          <w:p>
            <w:r>
              <w:t>0.06%</w:t>
            </w:r>
          </w:p>
        </w:tc>
      </w:tr>
      <w:tr>
        <w:tc>
          <w:tcPr>
            <w:tcW w:type="dxa" w:w="3120"/>
          </w:tcPr>
          <w:p>
            <w:r>
              <w:t>736,736</w:t>
            </w:r>
          </w:p>
        </w:tc>
        <w:tc>
          <w:tcPr>
            <w:tcW w:type="dxa" w:w="3120"/>
          </w:tcPr>
          <w:p>
            <w:r>
              <w:t>1.02%</w:t>
            </w:r>
          </w:p>
        </w:tc>
        <w:tc>
          <w:tcPr>
            <w:tcW w:type="dxa" w:w="3120"/>
          </w:tcPr>
          <w:p>
            <w:r>
              <w:t>0.05%</w:t>
            </w:r>
          </w:p>
        </w:tc>
      </w:tr>
      <w:tr>
        <w:tc>
          <w:tcPr>
            <w:tcW w:type="dxa" w:w="3120"/>
          </w:tcPr>
          <w:p>
            <w:r>
              <w:t>839,040</w:t>
            </w:r>
          </w:p>
        </w:tc>
        <w:tc>
          <w:tcPr>
            <w:tcW w:type="dxa" w:w="3120"/>
          </w:tcPr>
          <w:p>
            <w:r>
              <w:t>0.00% (reference)</w:t>
            </w:r>
          </w:p>
        </w:tc>
        <w:tc>
          <w:tcPr>
            <w:tcW w:type="dxa" w:w="3120"/>
          </w:tcPr>
          <w:p>
            <w:r>
              <w:t>0.00%</w:t>
            </w:r>
          </w:p>
        </w:tc>
      </w:tr>
      <w:tr>
        <w:tc>
          <w:tcPr>
            <w:tcW w:type="dxa" w:w="3120"/>
          </w:tcPr>
          <w:p>
            <w:r>
              <w:t>950,400</w:t>
            </w:r>
          </w:p>
        </w:tc>
        <w:tc>
          <w:tcPr>
            <w:tcW w:type="dxa" w:w="3120"/>
          </w:tcPr>
          <w:p>
            <w:r>
              <w:t>1.41%</w:t>
            </w:r>
          </w:p>
        </w:tc>
        <w:tc>
          <w:tcPr>
            <w:tcW w:type="dxa" w:w="3120"/>
          </w:tcPr>
          <w:p>
            <w:r>
              <w:t>0.05%</w:t>
            </w:r>
          </w:p>
        </w:tc>
      </w:tr>
    </w:tbl>
    <w:p>
      <w:r>
        <w:rPr>
          <w:i/>
        </w:rPr>
        <w:t>At 3,360 elements, both metrics tick up slightly rather than continuing to decrease from the 1,320-element point immediately before it. This falls in a resolution range where the fixed sampling region around the groove still contains relatively few quadrature points, which is a plausible contributing factor, but the exact mechanism has not been isolated and is not asserted as confirmed here. It does not affect the overall trend at the finer, practically relevant resolutions.</w:t>
      </w:r>
    </w:p>
    <w:p>
      <w:r>
        <w:rPr>
          <w:i w:val="0"/>
        </w:rPr>
        <w:t>The regional Cauchy-stress field error enters the requested 5-10% target band at 480,320 elements (5.69%) and stays inside or below that band at every finer resolution tested. This is the first tested resolution that falls inside the band; the ladder did not sample any intermediate mesh between 201,780 elements (24.60%, outside the band) and 480,320 elements, so 480,320 is reported as the first confirmed point inside the target range, not as a proven minimum -- comfortably within the requested 10^5-10^6-element range in either case.</w:t>
      </w:r>
    </w:p>
    <w:p>
      <w:r>
        <w:rPr>
          <w:i w:val="0"/>
        </w:rPr>
        <w:t>To check that the 839,040-element reference used throughout the table above was itself converged, one additional, independently finer mesh (950,400 elements) was solved and used to validate it: comparing the 839,040-element mesh against the 950,400-element mesh gives a regional Cauchy-stress field error of 0.858% and a region-average relative change of 0.623%, both comfortably under 10%, so the 839,040-element mesh was accepted as the converged reference. This is a different comparison from the 950,400-element row in the table above (1.41%): that row evaluates the 950,400-element mesh AGAINST the 839,040-element reference, the opposite reference/case roles from the validation check, which is why the two numbers differ despite using the same pair of meshes.</w:t>
      </w:r>
    </w:p>
    <w:p>
      <w:r>
        <w:rPr>
          <w:i/>
        </w:rPr>
        <w:t>Overall, Candidate A's sharper-groove geometry starts far outside the target band at coarse resolution (over 1000% error at 336 elements) and shows a clear overall convergence trend at the practically relevant finer resolutions, entering the 5-10% band at 480,320 elements -- squarely inside the requested 10^5-10^6-element range. The reference solution is independently validated as converged.</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two fine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both tested directly against the real solver rather than assumed to work. (1) Moving both sides to raw per-Gauss-point values made the reported error substantially worse (a 600-element case moved from 32.97% to 84.08%), traced to a real, checkable cause: within a single coarse element, the stress at its own 8 Gauss points can vary by an amount comparable to or larger than the entire mesh's own element-averaged stress range end to end, so comparing raw values on both sides amplifies mesh sensitivity rather than removing it. (2) Shrinking the fixed sampling region made the reported error worse at every step tested, not better. Neither was adopted.</w:t>
      </w:r>
    </w:p>
    <w:p>
      <w:r>
        <w:rPr>
          <w:i/>
        </w:rPr>
        <w:t>The combination that was not yet tried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shows clean, monotonic convergence with resolution on real CPU data, and has since been confirmed on real GPU data as well: the same A100 reference pair (243,360 vs. 424,128 elements, from an earlier, smaller-groove version of this benchmark) gives a full Cauchy-tensor field error of 0.662% between the two references under the corrected, symmetric methodology -- a world away from the earlier ~17.3% plateau. This is the same methodology used for both Candidate A's and Candidate B's region-Cauchy field error reported in this section.</w:t>
      </w:r>
    </w:p>
    <w:p>
      <w:pPr>
        <w:pStyle w:val="Heading2"/>
      </w:pPr>
      <w:r>
        <w:t>11.3 Candidate B: the rigid-shim laminated bushing -- full GPU mesh-convergence study</w:t>
      </w:r>
    </w:p>
    <w:p>
      <w:r>
        <w:rPr>
          <w:i w:val="0"/>
        </w:rPr>
        <w:t>The rigid-shim model uses the same rocking rubber-mount bushing shape and boundary conditions as Candidate A, but replaces the sharper groove with a laminated construction: one or more thin cylindrical steel shims embedded in the rubber annulus, each modeled as an exactly rigid body via the kinematic-condensation reduced system described in 11.1. The primary QoI is the same regional Cauchy-stress field error methodology as Candidate A (11.2.1), evaluated near a shim/rubber interface rather than a groove.</w:t>
      </w:r>
    </w:p>
    <w:p>
      <w:r>
        <w:rPr>
          <w:i w:val="0"/>
        </w:rPr>
        <w:t>Two real engineering issues were found and fixed while bringing this candidate to a production GPU run, both disclosed here rather than only in internal notes. First, the rigid-body reduced linear system (needed because torch-fem has no native rigid multi-point-constraint support) is solved with a Jacobi-preconditioned conjugate-gradient method that runs entirely on CPU via SciPy, never GPU-accelerated -- unlike every other step in this project's GPU pipeline. This was confirmed to cause per-row cost to grow much worse than linearly with element count: a real production run took 2.24x longer for only a 1.68x increase in element count (180,336 to 302,016 elements), and an attempted next step at 489,216 elements ran over 6 hours without finishing and was abandoned. Second, an earlier version of the mesh-convergence cell deferred every region-Cauchy-field comparison to after the whole resolution ladder finished; when the stuck 489,216-element row had to be interrupted, this destroyed the comparison potential for all six already-completed rows, since only raw scalars had been printed, not the underlying field data the comparison needs. The cell was redesigned to solve one reference resolution first and compute and print each subsequent row's full comparison immediately as it finishes, so nothing is deferred to a step an interrupt could destroy; a Newton early-divergence check (bailing out of a doomed iteration before wasting a linear solve, once the residual grows more than 10x in a single step) was also added and confirmed in real GPU runs, needed once each at 75,504 and 105,456 elements.</w:t>
      </w:r>
    </w:p>
    <w:p>
      <w:r>
        <w:rPr>
          <w:i w:val="0"/>
        </w:rPr>
        <w:t>With both fixes in place, a full production GPU ladder (6 resolutions, 15,600 to 302,016 elements) completed cleanly in 1 hour 44 minutes, with every row's comparison already computed and printed as it finished.</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15,600</w:t>
            </w:r>
          </w:p>
        </w:tc>
        <w:tc>
          <w:tcPr>
            <w:tcW w:type="dxa" w:w="3120"/>
          </w:tcPr>
          <w:p>
            <w:r>
              <w:t>1.98%</w:t>
            </w:r>
          </w:p>
        </w:tc>
        <w:tc>
          <w:tcPr>
            <w:tcW w:type="dxa" w:w="3120"/>
          </w:tcPr>
          <w:p>
            <w:r>
              <w:t>3.22%</w:t>
            </w:r>
          </w:p>
        </w:tc>
      </w:tr>
      <w:tr>
        <w:tc>
          <w:tcPr>
            <w:tcW w:type="dxa" w:w="3120"/>
          </w:tcPr>
          <w:p>
            <w:r>
              <w:t>50,544</w:t>
            </w:r>
          </w:p>
        </w:tc>
        <w:tc>
          <w:tcPr>
            <w:tcW w:type="dxa" w:w="3120"/>
          </w:tcPr>
          <w:p>
            <w:r>
              <w:t>0.64%</w:t>
            </w:r>
          </w:p>
        </w:tc>
        <w:tc>
          <w:tcPr>
            <w:tcW w:type="dxa" w:w="3120"/>
          </w:tcPr>
          <w:p>
            <w:r>
              <w:t>1.08%</w:t>
            </w:r>
          </w:p>
        </w:tc>
      </w:tr>
      <w:tr>
        <w:tc>
          <w:tcPr>
            <w:tcW w:type="dxa" w:w="3120"/>
          </w:tcPr>
          <w:p>
            <w:r>
              <w:t>75,504</w:t>
            </w:r>
          </w:p>
        </w:tc>
        <w:tc>
          <w:tcPr>
            <w:tcW w:type="dxa" w:w="3120"/>
          </w:tcPr>
          <w:p>
            <w:r>
              <w:t>0.38%</w:t>
            </w:r>
          </w:p>
        </w:tc>
        <w:tc>
          <w:tcPr>
            <w:tcW w:type="dxa" w:w="3120"/>
          </w:tcPr>
          <w:p>
            <w:r>
              <w:t>0.69%</w:t>
            </w:r>
          </w:p>
        </w:tc>
      </w:tr>
      <w:tr>
        <w:tc>
          <w:tcPr>
            <w:tcW w:type="dxa" w:w="3120"/>
          </w:tcPr>
          <w:p>
            <w:r>
              <w:t>105,456</w:t>
            </w:r>
          </w:p>
        </w:tc>
        <w:tc>
          <w:tcPr>
            <w:tcW w:type="dxa" w:w="3120"/>
          </w:tcPr>
          <w:p>
            <w:r>
              <w:t>0.24%</w:t>
            </w:r>
          </w:p>
        </w:tc>
        <w:tc>
          <w:tcPr>
            <w:tcW w:type="dxa" w:w="3120"/>
          </w:tcPr>
          <w:p>
            <w:r>
              <w:t>0.42%</w:t>
            </w:r>
          </w:p>
        </w:tc>
      </w:tr>
      <w:tr>
        <w:tc>
          <w:tcPr>
            <w:tcW w:type="dxa" w:w="3120"/>
          </w:tcPr>
          <w:p>
            <w:r>
              <w:t>180,336</w:t>
            </w:r>
          </w:p>
        </w:tc>
        <w:tc>
          <w:tcPr>
            <w:tcW w:type="dxa" w:w="3120"/>
          </w:tcPr>
          <w:p>
            <w:r>
              <w:t>0.08%</w:t>
            </w:r>
          </w:p>
        </w:tc>
        <w:tc>
          <w:tcPr>
            <w:tcW w:type="dxa" w:w="3120"/>
          </w:tcPr>
          <w:p>
            <w:r>
              <w:t>0.15%</w:t>
            </w:r>
          </w:p>
        </w:tc>
      </w:tr>
      <w:tr>
        <w:tc>
          <w:tcPr>
            <w:tcW w:type="dxa" w:w="3120"/>
          </w:tcPr>
          <w:p>
            <w:r>
              <w:t>302,016</w:t>
            </w:r>
          </w:p>
        </w:tc>
        <w:tc>
          <w:tcPr>
            <w:tcW w:type="dxa" w:w="3120"/>
          </w:tcPr>
          <w:p>
            <w:r>
              <w:t>0.00% (reference)</w:t>
            </w:r>
          </w:p>
        </w:tc>
        <w:tc>
          <w:tcPr>
            <w:tcW w:type="dxa" w:w="3120"/>
          </w:tcPr>
          <w:p>
            <w:r>
              <w:t>0.00%</w:t>
            </w:r>
          </w:p>
        </w:tc>
      </w:tr>
    </w:tbl>
    <w:p>
      <w:r>
        <w:rPr>
          <w:i w:val="0"/>
        </w:rPr>
        <w:t>Unlike Candidate A, this ladder decreases smoothly and monotonically at every point tested, with no non-monotonic outliers at any resolution. The 302,016-element reference used above is not independently checked against a finer mesh -- a deliberate, disclosed trade-off made to avoid re-triggering the CPU-bound cost explosion described above, rather than an oversight.</w:t>
      </w:r>
    </w:p>
    <w:p>
      <w:r>
        <w:rPr>
          <w:i/>
        </w:rPr>
        <w:t>This result raises a real, unresolved question rather than a finished conclusion. The regional Cauchy-stress field error is already below the requested 5-10% target band at the smallest resolution tested (1.98% at 15,600 elements, versus the band's own 5% floor) and only gets smaller from there -- every resolution actually inside the requested 10^5-10^6-element range (105,456 / 180,336 / 302,016 elements) falls outside the band on the low (too-accurate) side, the opposite of Candidate A's behavior. This means the rigid-shim geometry, as currently built, does not require 10^5-10^6 elements to reach the requested target accuracy: its true crossing point into the 5-10% band has not yet been located by this ladder and is almost certainly at a substantially smaller element count. Locating it would require solving additional, smaller resolutions (on the order of 1,000-10,000 elements) not yet attempted at production scale. This finding, and how to proceed with it, has not yet been decided and is raised here for discussion before a final candidate is chosen between (A) and (B).</w:t>
      </w:r>
    </w:p>
    <w:p>
      <w:pPr>
        <w:pStyle w:val="Heading2"/>
      </w:pPr>
      <w:r>
        <w:t>11.4 Status</w:t>
      </w:r>
    </w:p>
    <w:p>
      <w:r>
        <w:rPr>
          <w:i w:val="0"/>
        </w:rPr>
        <w:t>Both candidates now have a completed, GPU-confirmed mesh-convergence result using the same regional Cauchy-stress field-error methodology (11.2.1). Candidate A (B3, sharper groove) demonstrates the requested behavior directly: it starts far outside the 5-10% target band at coarse resolution and enters it within the requested 10^5-10^6-element range, at 480,320 elements. Candidate B (rigid-shim) is already inside or below the target band across its entire tested range, including at resolutions well inside 10^5-10^6 elements, and its own true crossing point has not yet been located -- an open question that should be resolved, one way or another, before a final candidate is selected. No dataset generation or neural-operator training has started for either candidate. After a final candidate is selected, the remaining numerical step is dataset generation, operator training, and the FEM-versus-operator comparison on displacement, reaction, energy, and regional Cauchy-stress QoIs, exactly as done for B1 and B2 -- that comparison has not started for either candidate and is not implied to be complete by anything above.</w:t>
      </w: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