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Third 3D Candidate, Final Decision</w:t>
      </w:r>
    </w:p>
    <w:p>
      <w:r>
        <w:rPr>
          <w:i/>
        </w:rPr>
        <w:t>This round covers the completed GPU mesh-convergence study for both candidates prepared for item 4 of a previous round (a new, harder, more realistic 3D example): B3 with a sharper groove, and a laminated rubber-mount bushing with rigid steel shims. Following review of both candidates' complete results, Prof. Rabczuk selected B3 for the final FEM-versus-operator comparison; this also covers the resulting scope of which geometry/material/loading parameters will vary in the training dataset. As with previous rounds, everything below is copied verbatim (same tables, same text) out of the now-updated cumulative Report (PFEM_Transolver_Report_2026-09-24e.docx) -- nothing summarized or re-derived. No dataset generation or operator training has started.</w:t>
      </w: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real per-resolution GPU peak memory (peak allocated and peak reserved, via torch.cuda's own peak-memory-stats API around each solve) was added to the mesh-convergence code and the ladder re-run on an A100 to obtain it -- the region-Cauchy field error and displacement L2 values in this re-run are identical to 11.2's own table, confirming reproducibility before trusting the new memory numbers alongside them.</w:t>
      </w:r>
    </w:p>
    <w:tbl>
      <w:tblPr>
        <w:tblW w:type="auto" w:w="0"/>
        <w:tblLook w:firstColumn="1" w:firstRow="1" w:lastColumn="0" w:lastRow="0" w:noHBand="0" w:noVBand="1" w:val="04A0"/>
      </w:tblPr>
      <w:tblGrid>
        <w:gridCol w:w="2340"/>
        <w:gridCol w:w="2340"/>
        <w:gridCol w:w="2340"/>
        <w:gridCol w:w="2340"/>
      </w:tblGrid>
      <w:tr>
        <w:tc>
          <w:tcPr>
            <w:tcW w:type="dxa" w:w="2340"/>
          </w:tcPr>
          <w:p>
            <w:r>
              <w:rPr>
                <w:b/>
              </w:rPr>
              <w:t>Elements</w:t>
            </w:r>
          </w:p>
        </w:tc>
        <w:tc>
          <w:tcPr>
            <w:tcW w:type="dxa" w:w="2340"/>
          </w:tcPr>
          <w:p>
            <w:r>
              <w:rPr>
                <w:b/>
              </w:rPr>
              <w:t>Time (s)</w:t>
            </w:r>
          </w:p>
        </w:tc>
        <w:tc>
          <w:tcPr>
            <w:tcW w:type="dxa" w:w="2340"/>
          </w:tcPr>
          <w:p>
            <w:r>
              <w:rPr>
                <w:b/>
              </w:rPr>
              <w:t>GPU peak allocated (MB)</w:t>
            </w:r>
          </w:p>
        </w:tc>
        <w:tc>
          <w:tcPr>
            <w:tcW w:type="dxa" w:w="2340"/>
          </w:tcPr>
          <w:p>
            <w:r>
              <w:rPr>
                <w:b/>
              </w:rPr>
              <w:t>GPU peak reserved (MB)</w:t>
            </w:r>
          </w:p>
        </w:tc>
      </w:tr>
      <w:tr>
        <w:tc>
          <w:tcPr>
            <w:tcW w:type="dxa" w:w="2340"/>
          </w:tcPr>
          <w:p>
            <w:r>
              <w:t>336</w:t>
            </w:r>
          </w:p>
        </w:tc>
        <w:tc>
          <w:tcPr>
            <w:tcW w:type="dxa" w:w="2340"/>
          </w:tcPr>
          <w:p>
            <w:r>
              <w:t>5.21</w:t>
            </w:r>
          </w:p>
        </w:tc>
        <w:tc>
          <w:tcPr>
            <w:tcW w:type="dxa" w:w="2340"/>
          </w:tcPr>
          <w:p>
            <w:r>
              <w:t>32.8</w:t>
            </w:r>
          </w:p>
        </w:tc>
        <w:tc>
          <w:tcPr>
            <w:tcW w:type="dxa" w:w="2340"/>
          </w:tcPr>
          <w:p>
            <w:r>
              <w:t>52.4</w:t>
            </w:r>
          </w:p>
        </w:tc>
      </w:tr>
      <w:tr>
        <w:tc>
          <w:tcPr>
            <w:tcW w:type="dxa" w:w="2340"/>
          </w:tcPr>
          <w:p>
            <w:r>
              <w:t>1,320</w:t>
            </w:r>
          </w:p>
        </w:tc>
        <w:tc>
          <w:tcPr>
            <w:tcW w:type="dxa" w:w="2340"/>
          </w:tcPr>
          <w:p>
            <w:r>
              <w:t>4.01</w:t>
            </w:r>
          </w:p>
        </w:tc>
        <w:tc>
          <w:tcPr>
            <w:tcW w:type="dxa" w:w="2340"/>
          </w:tcPr>
          <w:p>
            <w:r>
              <w:t>79.1</w:t>
            </w:r>
          </w:p>
        </w:tc>
        <w:tc>
          <w:tcPr>
            <w:tcW w:type="dxa" w:w="2340"/>
          </w:tcPr>
          <w:p>
            <w:r>
              <w:t>109.1</w:t>
            </w:r>
          </w:p>
        </w:tc>
      </w:tr>
      <w:tr>
        <w:tc>
          <w:tcPr>
            <w:tcW w:type="dxa" w:w="2340"/>
          </w:tcPr>
          <w:p>
            <w:r>
              <w:t>3,360</w:t>
            </w:r>
          </w:p>
        </w:tc>
        <w:tc>
          <w:tcPr>
            <w:tcW w:type="dxa" w:w="2340"/>
          </w:tcPr>
          <w:p>
            <w:r>
              <w:t>4.45</w:t>
            </w:r>
          </w:p>
        </w:tc>
        <w:tc>
          <w:tcPr>
            <w:tcW w:type="dxa" w:w="2340"/>
          </w:tcPr>
          <w:p>
            <w:r>
              <w:t>174.7</w:t>
            </w:r>
          </w:p>
        </w:tc>
        <w:tc>
          <w:tcPr>
            <w:tcW w:type="dxa" w:w="2340"/>
          </w:tcPr>
          <w:p>
            <w:r>
              <w:t>213.9</w:t>
            </w:r>
          </w:p>
        </w:tc>
      </w:tr>
      <w:tr>
        <w:tc>
          <w:tcPr>
            <w:tcW w:type="dxa" w:w="2340"/>
          </w:tcPr>
          <w:p>
            <w:r>
              <w:t>6,840</w:t>
            </w:r>
          </w:p>
        </w:tc>
        <w:tc>
          <w:tcPr>
            <w:tcW w:type="dxa" w:w="2340"/>
          </w:tcPr>
          <w:p>
            <w:r>
              <w:t>4.86</w:t>
            </w:r>
          </w:p>
        </w:tc>
        <w:tc>
          <w:tcPr>
            <w:tcW w:type="dxa" w:w="2340"/>
          </w:tcPr>
          <w:p>
            <w:r>
              <w:t>338.7</w:t>
            </w:r>
          </w:p>
        </w:tc>
        <w:tc>
          <w:tcPr>
            <w:tcW w:type="dxa" w:w="2340"/>
          </w:tcPr>
          <w:p>
            <w:r>
              <w:t>419.4</w:t>
            </w:r>
          </w:p>
        </w:tc>
      </w:tr>
      <w:tr>
        <w:tc>
          <w:tcPr>
            <w:tcW w:type="dxa" w:w="2340"/>
          </w:tcPr>
          <w:p>
            <w:r>
              <w:t>18,200</w:t>
            </w:r>
          </w:p>
        </w:tc>
        <w:tc>
          <w:tcPr>
            <w:tcW w:type="dxa" w:w="2340"/>
          </w:tcPr>
          <w:p>
            <w:r>
              <w:t>5.86</w:t>
            </w:r>
          </w:p>
        </w:tc>
        <w:tc>
          <w:tcPr>
            <w:tcW w:type="dxa" w:w="2340"/>
          </w:tcPr>
          <w:p>
            <w:r>
              <w:t>866.4</w:t>
            </w:r>
          </w:p>
        </w:tc>
        <w:tc>
          <w:tcPr>
            <w:tcW w:type="dxa" w:w="2340"/>
          </w:tcPr>
          <w:p>
            <w:r>
              <w:t>1,050.7</w:t>
            </w:r>
          </w:p>
        </w:tc>
      </w:tr>
      <w:tr>
        <w:tc>
          <w:tcPr>
            <w:tcW w:type="dxa" w:w="2340"/>
          </w:tcPr>
          <w:p>
            <w:r>
              <w:t>79,464</w:t>
            </w:r>
          </w:p>
        </w:tc>
        <w:tc>
          <w:tcPr>
            <w:tcW w:type="dxa" w:w="2340"/>
          </w:tcPr>
          <w:p>
            <w:r>
              <w:t>13.52</w:t>
            </w:r>
          </w:p>
        </w:tc>
        <w:tc>
          <w:tcPr>
            <w:tcW w:type="dxa" w:w="2340"/>
          </w:tcPr>
          <w:p>
            <w:r>
              <w:t>3,689.4</w:t>
            </w:r>
          </w:p>
        </w:tc>
        <w:tc>
          <w:tcPr>
            <w:tcW w:type="dxa" w:w="2340"/>
          </w:tcPr>
          <w:p>
            <w:r>
              <w:t>4,538.2</w:t>
            </w:r>
          </w:p>
        </w:tc>
      </w:tr>
      <w:tr>
        <w:tc>
          <w:tcPr>
            <w:tcW w:type="dxa" w:w="2340"/>
          </w:tcPr>
          <w:p>
            <w:r>
              <w:t>201,780</w:t>
            </w:r>
          </w:p>
        </w:tc>
        <w:tc>
          <w:tcPr>
            <w:tcW w:type="dxa" w:w="2340"/>
          </w:tcPr>
          <w:p>
            <w:r>
              <w:t>30.46</w:t>
            </w:r>
          </w:p>
        </w:tc>
        <w:tc>
          <w:tcPr>
            <w:tcW w:type="dxa" w:w="2340"/>
          </w:tcPr>
          <w:p>
            <w:r>
              <w:t>9,299.0</w:t>
            </w:r>
          </w:p>
        </w:tc>
        <w:tc>
          <w:tcPr>
            <w:tcW w:type="dxa" w:w="2340"/>
          </w:tcPr>
          <w:p>
            <w:r>
              <w:t>11,395.9</w:t>
            </w:r>
          </w:p>
        </w:tc>
      </w:tr>
      <w:tr>
        <w:tc>
          <w:tcPr>
            <w:tcW w:type="dxa" w:w="2340"/>
          </w:tcPr>
          <w:p>
            <w:r>
              <w:t>480,320</w:t>
            </w:r>
          </w:p>
        </w:tc>
        <w:tc>
          <w:tcPr>
            <w:tcW w:type="dxa" w:w="2340"/>
          </w:tcPr>
          <w:p>
            <w:r>
              <w:t>76.06</w:t>
            </w:r>
          </w:p>
        </w:tc>
        <w:tc>
          <w:tcPr>
            <w:tcW w:type="dxa" w:w="2340"/>
          </w:tcPr>
          <w:p>
            <w:r>
              <w:t>22,073.0</w:t>
            </w:r>
          </w:p>
        </w:tc>
        <w:tc>
          <w:tcPr>
            <w:tcW w:type="dxa" w:w="2340"/>
          </w:tcPr>
          <w:p>
            <w:r>
              <w:t>27,086.8</w:t>
            </w:r>
          </w:p>
        </w:tc>
      </w:tr>
      <w:tr>
        <w:tc>
          <w:tcPr>
            <w:tcW w:type="dxa" w:w="2340"/>
          </w:tcPr>
          <w:p>
            <w:r>
              <w:t>557,760</w:t>
            </w:r>
          </w:p>
        </w:tc>
        <w:tc>
          <w:tcPr>
            <w:tcW w:type="dxa" w:w="2340"/>
          </w:tcPr>
          <w:p>
            <w:r>
              <w:t>89.40</w:t>
            </w:r>
          </w:p>
        </w:tc>
        <w:tc>
          <w:tcPr>
            <w:tcW w:type="dxa" w:w="2340"/>
          </w:tcPr>
          <w:p>
            <w:r>
              <w:t>25,631.4</w:t>
            </w:r>
          </w:p>
        </w:tc>
        <w:tc>
          <w:tcPr>
            <w:tcW w:type="dxa" w:w="2340"/>
          </w:tcPr>
          <w:p>
            <w:r>
              <w:t>31,436.3</w:t>
            </w:r>
          </w:p>
        </w:tc>
      </w:tr>
      <w:tr>
        <w:tc>
          <w:tcPr>
            <w:tcW w:type="dxa" w:w="2340"/>
          </w:tcPr>
          <w:p>
            <w:r>
              <w:t>643,104</w:t>
            </w:r>
          </w:p>
        </w:tc>
        <w:tc>
          <w:tcPr>
            <w:tcW w:type="dxa" w:w="2340"/>
          </w:tcPr>
          <w:p>
            <w:r>
              <w:t>107.71</w:t>
            </w:r>
          </w:p>
        </w:tc>
        <w:tc>
          <w:tcPr>
            <w:tcW w:type="dxa" w:w="2340"/>
          </w:tcPr>
          <w:p>
            <w:r>
              <w:t>29,550.1</w:t>
            </w:r>
          </w:p>
        </w:tc>
        <w:tc>
          <w:tcPr>
            <w:tcW w:type="dxa" w:w="2340"/>
          </w:tcPr>
          <w:p>
            <w:r>
              <w:t>36,251.4</w:t>
            </w:r>
          </w:p>
        </w:tc>
      </w:tr>
      <w:tr>
        <w:tc>
          <w:tcPr>
            <w:tcW w:type="dxa" w:w="2340"/>
          </w:tcPr>
          <w:p>
            <w:r>
              <w:t>736,736</w:t>
            </w:r>
          </w:p>
        </w:tc>
        <w:tc>
          <w:tcPr>
            <w:tcW w:type="dxa" w:w="2340"/>
          </w:tcPr>
          <w:p>
            <w:r>
              <w:t>125.89</w:t>
            </w:r>
          </w:p>
        </w:tc>
        <w:tc>
          <w:tcPr>
            <w:tcW w:type="dxa" w:w="2340"/>
          </w:tcPr>
          <w:p>
            <w:r>
              <w:t>33,841.8</w:t>
            </w:r>
          </w:p>
        </w:tc>
        <w:tc>
          <w:tcPr>
            <w:tcW w:type="dxa" w:w="2340"/>
          </w:tcPr>
          <w:p>
            <w:r>
              <w:t>41,517.3</w:t>
            </w:r>
          </w:p>
        </w:tc>
      </w:tr>
      <w:tr>
        <w:tc>
          <w:tcPr>
            <w:tcW w:type="dxa" w:w="2340"/>
          </w:tcPr>
          <w:p>
            <w:r>
              <w:t>839,040</w:t>
            </w:r>
          </w:p>
        </w:tc>
        <w:tc>
          <w:tcPr>
            <w:tcW w:type="dxa" w:w="2340"/>
          </w:tcPr>
          <w:p>
            <w:r>
              <w:t>149.56</w:t>
            </w:r>
          </w:p>
        </w:tc>
        <w:tc>
          <w:tcPr>
            <w:tcW w:type="dxa" w:w="2340"/>
          </w:tcPr>
          <w:p>
            <w:r>
              <w:t>38,529.2</w:t>
            </w:r>
          </w:p>
        </w:tc>
        <w:tc>
          <w:tcPr>
            <w:tcW w:type="dxa" w:w="2340"/>
          </w:tcPr>
          <w:p>
            <w:r>
              <w:t>47,271.9</w:t>
            </w:r>
          </w:p>
        </w:tc>
      </w:tr>
      <w:tr>
        <w:tc>
          <w:tcPr>
            <w:tcW w:type="dxa" w:w="2340"/>
          </w:tcPr>
          <w:p>
            <w:r>
              <w:t>950,400 (reference)</w:t>
            </w:r>
          </w:p>
        </w:tc>
        <w:tc>
          <w:tcPr>
            <w:tcW w:type="dxa" w:w="2340"/>
          </w:tcPr>
          <w:p>
            <w:r>
              <w:t>176.90</w:t>
            </w:r>
          </w:p>
        </w:tc>
        <w:tc>
          <w:tcPr>
            <w:tcW w:type="dxa" w:w="2340"/>
          </w:tcPr>
          <w:p>
            <w:r>
              <w:t>43,637.5</w:t>
            </w:r>
          </w:p>
        </w:tc>
        <w:tc>
          <w:tcPr>
            <w:tcW w:type="dxa" w:w="2340"/>
          </w:tcPr>
          <w:p>
            <w:r>
              <w:t>53,540.3</w:t>
            </w:r>
          </w:p>
        </w:tc>
      </w:tr>
    </w:tbl>
    <w:p>
      <w:r>
        <w:rPr>
          <w:i w:val="0"/>
        </w:rPr>
        <w:t>Both time and peak memory grow substantially faster than linearly with element count (roughly 2.4x the elements from 480,320 to 950,400 elements costs about 2.3x the time and 2.0x the peak memory), consistent with the increased fill-in of the assembled tangent stiffness matrix at finer 3D meshes. The full 13-point ladder completed in 41 minutes 17 seconds total on a single A100 -- consistent with the original run's 40 minutes 41 seconds, the small difference being ordinary run-to-run variation, not a regression.</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All three of the advisor's next-step items above are now addressed (reference chosen, time/memory reported, VINO parameter scope decided) except the exact sampling ranges for E, nu, and phi, which remain a deliberately separate, not-yet-decided step. Once those are set, the remaining numerical steps are dataset generation, operator training, and the FEM-versus-operator comparison on displacement, reaction, energy, and regional Cauchy-stress QoIs, exactly as done for B1 and B2 -- none of this is implied to be complete by anything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