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DRAFT reply to Timon's round-14 follow-up email -- NOT YET SENT. Review before sending.</w:t>
      </w:r>
    </w:p>
    <w:p>
      <w:r>
        <w:rPr>
          <w:i/>
        </w:rPr>
        <w:t>Covers only points 1 and 2 of that email (naming, and what varies per training sample). The geometry figure he asked for was already sent separately. The resolution/tolerance points (123k/424k 'fairly modest,' 10^5-10^6 elements, neglecting 1%/2%) are intentionally NOT addressed here -- Omar's own instruction was to hold those for a separate decision on how much more GPU time to commit.</w:t>
      </w:r>
    </w:p>
    <w:p/>
    <w:p>
      <w:r>
        <w:t>Subject: Re: B3 follow-up -- operator naming and training-sample design</w:t>
      </w:r>
    </w:p>
    <w:p/>
    <w:p>
      <w:r>
        <w:t>Dear Professor Rabczuk,</w:t>
      </w:r>
    </w:p>
    <w:p>
      <w:r>
        <w:t>Two quick clarifications on your questions.</w:t>
      </w:r>
    </w:p>
    <w:p>
      <w:r>
        <w:t>1. The operator we train and report on throughout this project is Transolver (Transolver_Irregular_Mesh), not VINO -- VINO is a separate, third-party codebase we kept vendored only for reference and to cross-check two material-model formulas early on; it is not the architecture used for any of our own results. Happy to use whichever name is clearer going forward, just wanted to flag the distinction in case VINO was meant generically.</w:t>
      </w:r>
    </w:p>
    <w:p>
      <w:r>
        <w:t>2. For the training dataset, the parameter that would vary per sample is the rocking AMPLITUDE (the size of the core's tilt), with the rotation axis, material (Neo-Hookean), and geometry all fixed -- the same pattern as B1/B2's own convention of varying one load/field parameter per sample. This choice is not arbitrary: the current mesh exploits a mirror symmetry (only half the cylinder is modeled, with the y=0 plane's own out-of-plane displacement constrained to zero), and that symmetry is only valid because the rocking is specifically a rotation about one fixed axis. Varying the amplitude preserves this exactly, at no extra cost. Varying the rocking DIRECTION as well is possible in principle, but would require modeling the full cylinder (roughly double the mesh) and a more general rotation formula -- a real increase in scope, not a free addition. We'd suggest amplitude-only as the default unless you specifically want direction to vary too, in which case we'd treat it as a separate, explicit extension.</w:t>
      </w:r>
    </w:p>
    <w:p>
      <w:r>
        <w:t>We'll hold the resolution/tolerance points from your email for a separate follow-up once we've worked out how much additional GPU time makes sense.</w:t>
      </w:r>
    </w:p>
    <w:p>
      <w:r>
        <w:t>Best regards,</w:t>
      </w:r>
    </w:p>
    <w:p>
      <w:r>
        <w:t>Omar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