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was still mid-training as of this writing and is not included below.</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p>
      <w:pPr>
        <w:jc w:val="center"/>
      </w:pPr>
      <w:r>
        <w:drawing>
          <wp:inline xmlns:a="http://schemas.openxmlformats.org/drawingml/2006/main" xmlns:pic="http://schemas.openxmlformats.org/drawingml/2006/picture">
            <wp:extent cx="5029200" cy="2797139"/>
            <wp:docPr id="2125636092" name="Picture 2125636092"/>
            <wp:cNvGraphicFramePr>
              <a:graphicFrameLocks noChangeAspect="1"/>
            </wp:cNvGraphicFramePr>
            <a:graphic>
              <a:graphicData uri="http://schemas.openxmlformats.org/drawingml/2006/picture">
                <pic:pic>
                  <pic:nvPicPr>
                    <pic:cNvPr id="0" name="fig_direct_n1401_ablation.png"/>
                    <pic:cNvPicPr/>
                  </pic:nvPicPr>
                  <pic:blipFill>
                    <a:blip r:embed="rId59"/>
                    <a:stretch>
                      <a:fillRect/>
                    </a:stretch>
                  </pic:blipFill>
                  <pic:spPr>
                    <a:xfrm>
                      <a:off x="0" y="0"/>
                      <a:ext cx="5029200" cy="2797139"/>
                    </a:xfrm>
                    <a:prstGeom prst="rect"/>
                  </pic:spPr>
                </pic:pic>
              </a:graphicData>
            </a:graphic>
          </wp:inline>
        </w:drawing>
      </w:r>
    </w:p>
    <w:p>
      <w:r>
        <w:rPr>
          <w:i/>
          <w:sz w:val="18"/>
        </w:rPr>
        <w:t>Figure R10-E. Direct-N1401 training vs. multi-resolution zero-shot, training cost and accuracy (Table R10-5).</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All four non-Arruda-Boyce numbers are from a single clean re-run (2026-09-17) after fixing a real memory-cleanup bug in the sweep script (an exception-chain reference kept a failed case's own GPU tensors pinned into the next case) -- this re-run succeeded for every non-Arruda-Boyce case in one pass, confirming the fix on real GPU. Both Arruda-Boyce cases fail genuinely and consistently across every run: torch-fem's own Newton-Raphson solve does not converge at N=1401, root-caused to a real CUDA OOM inside torch-fem's own Hessian assembly for this specific material.</w:t>
      </w:r>
    </w:p>
    <w:p>
      <w:pPr>
        <w:jc w:val="center"/>
      </w:pPr>
      <w:r>
        <w:drawing>
          <wp:inline xmlns:a="http://schemas.openxmlformats.org/drawingml/2006/main" xmlns:pic="http://schemas.openxmlformats.org/drawingml/2006/picture">
            <wp:extent cx="5029200" cy="3051425"/>
            <wp:docPr id="2125636091" name="Picture 2125636091"/>
            <wp:cNvGraphicFramePr>
              <a:graphicFrameLocks noChangeAspect="1"/>
            </wp:cNvGraphicFramePr>
            <a:graphic>
              <a:graphicData uri="http://schemas.openxmlformats.org/drawingml/2006/picture">
                <pic:pic>
                  <pic:nvPicPr>
                    <pic:cNvPr id="0" name="fig_resolution_matched_breakeven.png"/>
                    <pic:cNvPicPr/>
                  </pic:nvPicPr>
                  <pic:blipFill>
                    <a:blip r:embed="rId58"/>
                    <a:stretch>
                      <a:fillRect/>
                    </a:stretch>
                  </pic:blipFill>
                  <pic:spPr>
                    <a:xfrm>
                      <a:off x="0" y="0"/>
                      <a:ext cx="5029200" cy="3051425"/>
                    </a:xfrm>
                    <a:prstGeom prst="rect"/>
                  </pic:spPr>
                </pic:pic>
              </a:graphicData>
            </a:graphic>
          </wp:inline>
        </w:drawing>
      </w:r>
    </w:p>
    <w:p>
      <w:r>
        <w:rPr>
          <w:i/>
          <w:sz w:val="18"/>
        </w:rPr>
        <w:t>Figure R10-D. Resolution-matched speedup, all six cases (Table R10-4'). (Figure R10-C already exists for Table R10-3's own data.)</w:t>
      </w:r>
    </w:p>
    <w:p>
      <w:r>
        <w:t>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pPr>
        <w:jc w:val="center"/>
      </w:pPr>
      <w:r>
        <w:drawing>
          <wp:inline xmlns:a="http://schemas.openxmlformats.org/drawingml/2006/main" xmlns:pic="http://schemas.openxmlformats.org/drawingml/2006/picture">
            <wp:extent cx="5029200" cy="2688482"/>
            <wp:docPr id="2125636093" name="Picture 2125636093"/>
            <wp:cNvGraphicFramePr>
              <a:graphicFrameLocks noChangeAspect="1"/>
            </wp:cNvGraphicFramePr>
            <a:graphic>
              <a:graphicData uri="http://schemas.openxmlformats.org/drawingml/2006/picture">
                <pic:pic>
                  <pic:nvPicPr>
                    <pic:cNvPr id="0" name="fig_peak_stress_qoi.png"/>
                    <pic:cNvPicPr/>
                  </pic:nvPicPr>
                  <pic:blipFill>
                    <a:blip r:embed="rId60"/>
                    <a:stretch>
                      <a:fillRect/>
                    </a:stretch>
                  </pic:blipFill>
                  <pic:spPr>
                    <a:xfrm>
                      <a:off x="0" y="0"/>
                      <a:ext cx="5029200" cy="2688482"/>
                    </a:xfrm>
                    <a:prstGeom prst="rect"/>
                  </pic:spPr>
                </pic:pic>
              </a:graphicData>
            </a:graphic>
          </wp:inline>
        </w:drawing>
      </w:r>
    </w:p>
    <w:p>
      <w:r>
        <w:rPr>
          <w:i/>
          <w:sz w:val="18"/>
        </w:rPr>
        <w:t>Figure R10-F. Peak-stress QoI vs. displacement error, five cases (Table R10-6).</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