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r>
        <w:tc>
          <w:tcPr>
            <w:tcW w:type="dxa" w:w="562"/>
          </w:tcPr>
          <w:p>
            <w:r>
              <w:t>9</w:t>
            </w:r>
          </w:p>
        </w:tc>
        <w:tc>
          <w:tcPr>
            <w:tcW w:type="dxa" w:w="2808"/>
          </w:tcPr>
          <w:p>
            <w:r>
              <w:t>New, harder, more realistic 3D example (Timon item 4)</w:t>
            </w:r>
          </w:p>
        </w:tc>
        <w:tc>
          <w:tcPr>
            <w:tcW w:type="dxa" w:w="5990"/>
          </w:tcPr>
          <w:p>
            <w:r>
              <w:t>Two candidates (B3 with a sharper groove; a laminated rubber-mount bushing with rigid steel shims) both brought to a full, GPU-confirmed mesh-convergence result. Prof. Rabczuk selected B3 for the final FEM-versus-operator comparison, using the 950,400-element solution as the common reference; the geometry/material/loading parameters that will vary in the operator training dataset were also decided. See Section 11.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6C2C8598" w14:textId="77777777" w:rsidR="007D1968" w:rsidRDefault="00000000">
      <w:pPr>
        <w:pStyle w:val="ListParagraph"/>
        <w:numPr>
          <w:ilvl w:val="0"/>
          <w:numId w:val="1"/>
        </w:numPr>
        <w:spacing w:after="100"/>
      </w:pPr>
      <w:r>
        <w:t>The new, harder, more realistic 3D example requested separately (item 4) has reached a final candidate decision: see Section 11 for the full mesh-convergence results of both candidates prepared and Prof. Rabczuk’s selection of B3. Dataset generation and operator training for it have not started.</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FEM wall-clock time at every resolution is already reported in 11.2's table; per-resolution GPU memory is not yet available -- peak-memory tracking (peak allocated and peak reserved, via torch.cuda's own peak-memory-stats API) has been added to the mesh-convergence code, but the ladder has not yet been re-run with it, so no GPU memory numbers are reported in this document yet. This will be added once that run completes.</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After the FEM time/memory table is complete and the sampling ranges above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