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Third 3D Candidate, Final Decision</w:t>
      </w:r>
    </w:p>
    <w:p>
      <w:r>
        <w:rPr>
          <w:i/>
        </w:rPr>
        <w:t>This round covers the completed GPU mesh-convergence study for both candidates prepared for item 4 of a previous round (a new, harder, more realistic 3D example): B3 with a sharper groove, and a laminated rubber-mount bushing with rigid steel shims. Following review of both candidates' complete results, Prof. Rabczuk selected B3 for the final FEM-versus-operator comparison; this also covers the resulting scope of which geometry/material/loading parameters will vary in the training dataset. As with previous rounds, everything below is copied verbatim (same tables, same text) out of the now-updated cumulative Report (PFEM_Transolver_Report_2026-09-24b.docx) -- nothing summarized or re-derived. No dataset generation or operator training has started.</w:t>
      </w: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FEM wall-clock time at every resolution is already reported in 11.2's table; per-resolution GPU memory is not yet available -- peak-memory tracking (peak allocated and peak reserved, via torch.cuda's own peak-memory-stats API) has been added to the mesh-convergence code, but the ladder has not yet been re-run with it, so no GPU memory numbers are reported in this document yet. This will be added once that run completes.</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After the FEM time/memory table is complete and the sampling ranges above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