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Timon's round-11 feedback (received after the round-10 reply above) asked four further things, all now finished except the last: (1) keep BOTH break-even comparisons, accuracy-matched and resolution-matched -- done, Tables R10-4 and R10-4'; (2) extend the N=1401 accuracy/QoI/break-even analysis to all six geometry-material cases, and clarify in one table which quantity actually defines each case's own coarsest-suitable FEM mesh -- done, Tables R10-6 and R10-7; (3) describe the multi-resolution training protocol in full detail -- done, in the retrain discussion below; (4) train a B1xNeo-Hookean checkpoint directly at N=1401 as an ablation against the zero-shot multi-resolution result -- done, Table R10-5. Point 4 (the complex-geometry example) remains the one open item, exactly as Timon's own instruction was to discuss it separately once points 1-3 above were finished.</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Round-11 point 3 (multi-resolution training protocol, in full detail, as requested):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 46.37% -&gt; 36.05% (~22.3%, the smallest of the five reductions -- unlike Mooney-Rivlin's flat curve, this checkpoint's error is lowest right where it was trained, N=101 at 12.98%, and rises again beyond that to 36-40% by N=1401, still clearly better than the original checkpoint's 46.4-46.7% there).</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p>
      <w:pPr>
        <w:jc w:val="center"/>
      </w:pPr>
      <w:r>
        <w:drawing>
          <wp:inline xmlns:a="http://schemas.openxmlformats.org/drawingml/2006/main" xmlns:pic="http://schemas.openxmlformats.org/drawingml/2006/picture">
            <wp:extent cx="5029200" cy="2797139"/>
            <wp:docPr id="2125636092" name="Picture 2125636092"/>
            <wp:cNvGraphicFramePr>
              <a:graphicFrameLocks noChangeAspect="1"/>
            </wp:cNvGraphicFramePr>
            <a:graphic>
              <a:graphicData uri="http://schemas.openxmlformats.org/drawingml/2006/picture">
                <pic:pic>
                  <pic:nvPicPr>
                    <pic:cNvPr id="0" name="fig_direct_n1401_ablation.png"/>
                    <pic:cNvPicPr/>
                  </pic:nvPicPr>
                  <pic:blipFill>
                    <a:blip r:embed="rId59"/>
                    <a:stretch>
                      <a:fillRect/>
                    </a:stretch>
                  </pic:blipFill>
                  <pic:spPr>
                    <a:xfrm>
                      <a:off x="0" y="0"/>
                      <a:ext cx="5029200" cy="2797139"/>
                    </a:xfrm>
                    <a:prstGeom prst="rect"/>
                  </pic:spPr>
                </pic:pic>
              </a:graphicData>
            </a:graphic>
          </wp:inline>
        </w:drawing>
      </w:r>
    </w:p>
    <w:p>
      <w:r>
        <w:rPr>
          <w:i/>
          <w:sz w:val="18"/>
        </w:rPr>
        <w:t>Figure R10-E. Direct-N1401 training vs. multi-resolution zero-shot, training cost and accuracy (Table R10-5).</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4" name="Picture 2125636094"/>
            <wp:cNvGraphicFramePr>
              <a:graphicFrameLocks noChangeAspect="1"/>
            </wp:cNvGraphicFramePr>
            <a:graphic>
              <a:graphicData uri="http://schemas.openxmlformats.org/drawingml/2006/picture">
                <pic:pic>
                  <pic:nvPicPr>
                    <pic:cNvPr id="0" name="fig_multires_retrain_summary.png"/>
                    <pic:cNvPicPr/>
                  </pic:nvPicPr>
                  <pic:blipFill>
                    <a:blip r:embed="rId61"/>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Round-11 point 1 (keep BOTH break-even comparisons): the accuracy-matched one above (Table R10-4) is one half; the advisor asked to also keep a SECOND comparison,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Round-11 point 2, part A (extend the N=1401 QoI analysis to all remaining cases): task #22's peak-stress QoI, the five cases beyond B1xNeo-Hookean (Table R10-6). Caveat: B1xMooney-Rivlin, B1xArruda-Boyce, B2xMooney-Rivlin and B2xNeo-Hookean here reflect their ORIGINAL pre-retrain checkpoints (their disp_rel_L2 matches the "OLD" column in Table R10-2 exactly) -- the peak-stress metric has not been recomputed against this week's new retrained checkpoints for those four. B2xArruda-Boyce has only one checkpoint,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 (orig. checkpoint)</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pPr>
        <w:jc w:val="center"/>
      </w:pPr>
      <w:r>
        <w:drawing>
          <wp:inline xmlns:a="http://schemas.openxmlformats.org/drawingml/2006/main" xmlns:pic="http://schemas.openxmlformats.org/drawingml/2006/picture">
            <wp:extent cx="5029200" cy="2688482"/>
            <wp:docPr id="2125636093" name="Picture 2125636093"/>
            <wp:cNvGraphicFramePr>
              <a:graphicFrameLocks noChangeAspect="1"/>
            </wp:cNvGraphicFramePr>
            <a:graphic>
              <a:graphicData uri="http://schemas.openxmlformats.org/drawingml/2006/picture">
                <pic:pic>
                  <pic:nvPicPr>
                    <pic:cNvPr id="0" name="fig_peak_stress_qoi.png"/>
                    <pic:cNvPicPr/>
                  </pic:nvPicPr>
                  <pic:blipFill>
                    <a:blip r:embed="rId60"/>
                    <a:stretch>
                      <a:fillRect/>
                    </a:stretch>
                  </pic:blipFill>
                  <pic:spPr>
                    <a:xfrm>
                      <a:off x="0" y="0"/>
                      <a:ext cx="5029200" cy="2688482"/>
                    </a:xfrm>
                    <a:prstGeom prst="rect"/>
                  </pic:spPr>
                </pic:pic>
              </a:graphicData>
            </a:graphic>
          </wp:inline>
        </w:drawing>
      </w:r>
    </w:p>
    <w:p>
      <w:r>
        <w:rPr>
          <w:i/>
          <w:sz w:val="18"/>
        </w:rPr>
        <w:t>Figure R10-F. Peak-stress QoI vs. displacement error, five cases (Table R10-6).</w:t>
      </w:r>
    </w:p>
    <w:p>
      <w:r>
        <w:t>Round-11 point 2, part B (clarify, in one table, which quantity actually defines each case's own coarsest-suitable FEM mesh): does the same QoI determine the crossover every time? Already answered for B1xNeo-Hookean (N=11, bound by tangent energy) -- repeated here for the other five cases (Table R10-7). Checkpoint caveat as above: B1xMooney-Rivlin, B1xArruda-Boyce, B2xMooney-Rivlin and B2xNeo-Hookean reflect their ORIGINAL pre-retrain checkpoints here (task #22 predates all four retrains).</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all five metrics at once (L2, H1, energy, peak stress, reaction)</w:t>
            </w:r>
          </w:p>
        </w:tc>
      </w:tr>
      <w:tr>
        <w:tc>
          <w:tcPr>
            <w:tcW w:type="dxa" w:w="3120"/>
          </w:tcPr>
          <w:p>
            <w:r>
              <w:t>B1 x Arruda-Boyce</w:t>
            </w:r>
          </w:p>
        </w:tc>
        <w:tc>
          <w:tcPr>
            <w:tcW w:type="dxa" w:w="3120"/>
          </w:tcPr>
          <w:p>
            <w:r>
              <w:t>3</w:t>
            </w:r>
          </w:p>
        </w:tc>
        <w:tc>
          <w:tcPr>
            <w:tcW w:type="dxa" w:w="3120"/>
          </w:tcPr>
          <w:p>
            <w:r>
              <w:t>all five metrics at once (L2, H1, energy, peak stress, reaction)</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R10-7. Coarsest suitable FEM and its binding QoI, five cases, N=1401. N=3 is the coarsest resolution tested, so the two B1 rows' true crossover may lie even coarser.</w:t>
      </w:r>
    </w:p>
    <w:p>
      <w:r>
        <w:t>Mixed answer: all three B2 materials share the SAME binding metric (tangent energy), matching B1xNeo-Hookean -- but B1's other two materials cross on EVERY metric simultaneously, at the coarsest mesh tested (N=3), because the pre-retrain operator's own accuracy there is poor enough (L2_rel 33.65% Mooney-Rivlin, 44.57% Arruda-Boyce) that even the cheapest FEM mesh in this report already wins on every quantity of interest.</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