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PFEM / Transolver Work Summary -- Round 13</w:t>
      </w:r>
    </w:p>
    <w:p>
      <w:r>
        <w:rPr>
          <w:i/>
        </w:rPr>
        <w:t>This round covers items 1 and 2 of the advisor's follow-up email after round 12 ("let's wrap up the benchmark work"). Item 3 (drop IGA/NURBS) needed no report content -- confirmed explicit future work only, discussed after this paper. Item 4 (a new, harder 3D example) is its own much larger deliverable and will get its own round and Summary once built, per the advisor's own stated order. As with round 12, everything below is copied verbatim (same tables, same text) out of the now-updated cumulative Report (PFEM_Transolver_Report_2026-09-19b.docx) -- nothing summarized or re-derived.</w:t>
      </w:r>
    </w:p>
    <w:p>
      <w:r>
        <w:rPr>
          <w:b/>
          <w:sz w:val="28"/>
        </w:rPr>
        <w:t>Item 1 -- QoI-accuracy-threshold vs. required-FEM-resolution vs. break-even</w:t>
      </w:r>
    </w:p>
    <w:p>
      <w:r>
        <w:rPr>
          <w:i/>
          <w:sz w:val="20"/>
        </w:rPr>
        <w:t>“Finalize the low-N accuracy comparison (drop N=1401 for B1/B2) and add a table showing, for a few QoI-accuracy thresholds, the required FEM resolution and the break-even point.” — Timon</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r>
        <w:rPr>
          <w:b/>
          <w:sz w:val="28"/>
        </w:rPr>
        <w:t>Item 2 -- confirm the GPU-native solver as the primary timing baseline</w:t>
      </w:r>
    </w:p>
    <w:p>
      <w:r>
        <w:rPr>
          <w:i/>
          <w:sz w:val="20"/>
        </w:rPr>
        <w:t>“Use your most efficient validated GPU-native FEM solver as the primary timing baseline; keep torch-fem/TensorMesh as secondary.” — Timon</w:t>
      </w:r>
    </w:p>
    <w:p>
      <w:r>
        <w:rPr>
          <w:i/>
        </w:rPr>
        <w:t>Investigated via direct code inspection, not assumption: Table 18-R10e's own finite-element measurement already comes from gpu_fem_benchmark.py -&gt; gpu_fem_solver.py -- our own GPU-native Total-Lagrangian Newton solver, built earlier per the advisor's own request for a GPU-native comparison, completely independent of torch-fem. Torch-fem is used only in the separate resolution-matched table (18-R10e'), matching the advisor's own request to keep that comparison apart. So this item needed no computation change -- only making it explicit in the Report text, since the cell producing this number only named it "torch-fem" in its own informal print() statements, never in the actual Report wording. Two paragraphs (below) were updated accordingly; nothing else changed.</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