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One case remains open as of this writing and is not included in the tables above: B2 x Neo-Hookean's own multi-resolution retrain was still mid-training (most recently observed at epoch 575 of a 2000-epoch cap, validation error still improving, no sign of a plateau yet). It will be added to this section once complete, rather than reported early from an unfinished run.</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bl>
    <w:p>
      <w:r>
        <w:t>Table 18-R10i. Summary across every completed multi-resolution retrain case: disp_rel_L2 at the target resolution N=1401, old vs. new checkpoint. "Relative reduction" is (old - new) / old. B2 x Neo-Hookean and the direct-N1401 ablation are omitted here for the reason given just above, not because they were measured and found unfavourable.</w:t>
      </w:r>
    </w:p>
    <w:p>
      <w:pPr>
        <w:jc w:val="center"/>
      </w:pPr>
      <w:r>
        <w:drawing>
          <wp:inline xmlns:a="http://schemas.openxmlformats.org/drawingml/2006/main" xmlns:pic="http://schemas.openxmlformats.org/drawingml/2006/picture">
            <wp:extent cx="5486400" cy="3097658"/>
            <wp:docPr id="551" name="Picture 551"/>
            <wp:cNvGraphicFramePr>
              <a:graphicFrameLocks noChangeAspect="1"/>
            </wp:cNvGraphicFramePr>
            <a:graphic>
              <a:graphicData uri="http://schemas.openxmlformats.org/drawingml/2006/picture">
                <pic:pic>
                  <pic:nvPicPr>
                    <pic:cNvPr id="0" name="fig_multires_retrain_summary.png"/>
                    <pic:cNvPicPr/>
                  </pic:nvPicPr>
                  <pic:blipFill>
                    <a:blip r:embed="rId60"/>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finite-element solver@N=11 (its coarsest suitable mesh for the retrained checkpoint). Distinct from the matched-resolution/matched-batch-size break-even of Section 8.4: this comparison intentionally runs the two methods at different N, matched by accuracy rather than by mesh.</w:t>
      </w:r>
    </w:p>
    <w:p>
      <w:r>
        <w:t>The advisor's round-11 feedback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operator's own default eager fp32 forward pass at N=1401 against torch-fem's own real GPU solve time at the SAME N=1401, for all six (geometry, material)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r>
              <w:rPr>
                <w:b/>
              </w:rPr>
              <w:t>Operator @N=1401 (eager fp32)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135.18 s</w:t>
            </w:r>
          </w:p>
        </w:tc>
        <w:tc>
          <w:tcPr>
            <w:tcW w:type="dxa" w:w="1872"/>
          </w:tcPr>
          <w:p>
            <w:r>
              <w:t>2292.1 ms</w:t>
            </w:r>
          </w:p>
        </w:tc>
        <w:tc>
          <w:tcPr>
            <w:tcW w:type="dxa" w:w="1872"/>
          </w:tcPr>
          <w:p>
            <w:r>
              <w:t>59.0x</w:t>
            </w:r>
          </w:p>
        </w:tc>
        <w:tc>
          <w:tcPr>
            <w:tcW w:type="dxa" w:w="1872"/>
          </w:tcPr>
          <w:p>
            <w:r>
              <w:t>315 samples</w:t>
            </w:r>
          </w:p>
        </w:tc>
      </w:tr>
      <w:tr>
        <w:tc>
          <w:tcPr>
            <w:tcW w:type="dxa" w:w="1872"/>
          </w:tcPr>
          <w:p>
            <w:r>
              <w:t>B1 x Mooney-Rivlin</w:t>
            </w:r>
          </w:p>
        </w:tc>
        <w:tc>
          <w:tcPr>
            <w:tcW w:type="dxa" w:w="1872"/>
          </w:tcPr>
          <w:p>
            <w:r>
              <w:t>134.16 s</w:t>
            </w:r>
          </w:p>
        </w:tc>
        <w:tc>
          <w:tcPr>
            <w:tcW w:type="dxa" w:w="1872"/>
          </w:tcPr>
          <w:p>
            <w:r>
              <w:t>2347.5 ms</w:t>
            </w:r>
          </w:p>
        </w:tc>
        <w:tc>
          <w:tcPr>
            <w:tcW w:type="dxa" w:w="1872"/>
          </w:tcPr>
          <w:p>
            <w:r>
              <w:t>57.2x</w:t>
            </w:r>
          </w:p>
        </w:tc>
        <w:tc>
          <w:tcPr>
            <w:tcW w:type="dxa" w:w="1872"/>
          </w:tcPr>
          <w:p>
            <w:r>
              <w:t>training cost unknown</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205.92 s *</w:t>
            </w:r>
          </w:p>
        </w:tc>
        <w:tc>
          <w:tcPr>
            <w:tcW w:type="dxa" w:w="1872"/>
          </w:tcPr>
          <w:p>
            <w:r>
              <w:t>2353.5 ms *</w:t>
            </w:r>
          </w:p>
        </w:tc>
        <w:tc>
          <w:tcPr>
            <w:tcW w:type="dxa" w:w="1872"/>
          </w:tcPr>
          <w:p>
            <w:r>
              <w:t>87.5x *</w:t>
            </w:r>
          </w:p>
        </w:tc>
        <w:tc>
          <w:tcPr>
            <w:tcW w:type="dxa" w:w="1872"/>
          </w:tcPr>
          <w:p>
            <w:r>
              <w:t>training cost unknown</w:t>
            </w:r>
          </w:p>
        </w:tc>
      </w:tr>
      <w:tr>
        <w:tc>
          <w:tcPr>
            <w:tcW w:type="dxa" w:w="1872"/>
          </w:tcPr>
          <w:p>
            <w:r>
              <w:t>B2 x Mooney-Rivlin</w:t>
            </w:r>
          </w:p>
        </w:tc>
        <w:tc>
          <w:tcPr>
            <w:tcW w:type="dxa" w:w="1872"/>
          </w:tcPr>
          <w:p>
            <w:r>
              <w:t>207.57 s</w:t>
            </w:r>
          </w:p>
        </w:tc>
        <w:tc>
          <w:tcPr>
            <w:tcW w:type="dxa" w:w="1872"/>
          </w:tcPr>
          <w:p>
            <w:r>
              <w:t>2338.7 ms</w:t>
            </w:r>
          </w:p>
        </w:tc>
        <w:tc>
          <w:tcPr>
            <w:tcW w:type="dxa" w:w="1872"/>
          </w:tcPr>
          <w:p>
            <w:r>
              <w:t>88.8x</w:t>
            </w:r>
          </w:p>
        </w:tc>
        <w:tc>
          <w:tcPr>
            <w:tcW w:type="dxa" w:w="1872"/>
          </w:tcPr>
          <w:p>
            <w:r>
              <w:t>training cost unknown</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At this matched resolution the operator wins by 57x-89x even in its default, unoptimized deployment mode -- markedly more favourable than the accuracy-matched comparison above (Table 18-R10e), where the same default mode does not break even at all and the operator's economic case instead rests on the torch.compile+TF32 optimization from point 3. "Break-even (samples)" is only reported where that case's own retrained-checkpoint training wall-clock is known; for the three cases marked "training cost unknown" only the per-sample speedup is available, since those checkpoints predate this project's own training-time logging. * B2 x Neo-Hookean's row uses an earlier, independently clean measurement rather than the same session's freshest re-run of this sweep: that re-run's own attempt at this case failed with a CUDA out-of-memory error, but the sweep's own printed GPU-memory state shows 81.27 GB already allocated on a 79.25 GB device before this case's forward pass even started -- memory left over from the immediately preceding B1 x Arruda-Boyce failure, never released before the next case began. That is a memory-cleanup gap between cases in the sweep script, not a real finding about this case, which is why the earlier clean number is used here instead of silently reporting the corrupted re-run's own failure as if it were a genuine result.</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Task #22 also asked for the peak-stress QoI (fixed physical location, converged from a fine reference -- the same convention as B1xNeo-Hookean's own peak-stress discussion above) at N=1401 for the remaining five cases. Table 18-R10k. A checkpoint-version caveat applies to three of the five rows: B1xMooney-Rivlin, B1xArruda-Boyce and B2xMooney-Rivlin were measured here against their ORIGINAL (pre-retrain) checkpoints -- their disp_rel_L2 values match exactly the "OLD" column already published in Tables 18-R10f/g/h -- so the peak-stress numbers below have not been recomputed against this week's own newly retrained checkpoints for those three cases. B2xNeo-Hookean (its own first multi-res retrain still mid-training) and B2xArruda-Boyce (no retrain planned) have only ever had one checkpoint each, so no such caveat applies to those two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