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Round-12 reply to Timon -- the three points from his 2026-09-18 email, in full</w:t>
      </w:r>
    </w:p>
    <w:p>
      <w:r>
        <w:rPr>
          <w:i/>
        </w:rPr>
        <w:t>This document contains ONLY the material answering Timon's three round-12 points, copied verbatim (same tables, same figures, same text) from the full Report (PFEM_Transolver_Report_2026-09-18.docx) -- nothing summarized or re-derived. See that document for the complete report.</w:t>
      </w:r>
    </w:p>
    <w:p>
      <w:r>
        <w:rPr>
          <w:b/>
          <w:sz w:val="28"/>
        </w:rPr>
        <w:t>Point 1 -- Cauchy-stress fixed-region QoI, final checkpoints</w:t>
      </w:r>
    </w:p>
    <w:p>
      <w:r>
        <w:rPr>
          <w:i/>
          <w:sz w:val="20"/>
        </w:rPr>
        <w:t>“We need one final accuracy-versus-resolution table using the final retrained checkpoints only... For the stress comparison, I would prefer Cauchy stress rather than PK1... I suggest defining a fixed physical region around the stress concentration and reporting, in addition to the Cauchy-stress field error, a robust local quantity such as a volume/area-weighted average or 95/99th percentile... A true maximum can still be reported separately.” — Timon, 2026-09-18</w:t>
      </w:r>
    </w:p>
    <w:p>
      <w:r>
        <w:rPr>
          <w:b w:val="0"/>
        </w:rPr>
        <w:t>Round-12 point 1 (Cauchy-stress fixed-region QoI, final checkpoints): the advisor asked for one final accuracy-versus-resolution table -- for EACH resolution,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Below: two tables per case, all six cases, all sixteen resolutions tested (N=3..49) -- the established accuracy QoIs, then the new Cauchy-stress QoI. Scope, stated plainly: these resolutions are the LOW_N range already established for this project's own coarsest-suitable-mesh crossover analysis above, against a fine reference at N=201 --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rPr>
          <w:b w:val="0"/>
        </w:rPr>
        <w:t>A genuine, pre-existing gap, disclosed rather than hidden: the operator's own classical accuracy QoIs (L2, H1, energy, reaction) were never evaluated below N=13 for any case before this round -- its own zero-shot-validated range has always started there. B1xNeo-Hookean's own "Op." columns below are complete down to N=3 only because a dedicated follow-up run (2026-09-18, 46s of real GPU compute) closed that gap specifically for the flagship case; the other five cases still show "n/a" for the operator at N=3,4,5,6,9,11, an honest, unfilled gap rather than a guess. The Cauchy-stress metric, by contrast, is complete for every case at every resolution, since it was computed fresh in this round's own sweep regardless of any older cache.</w:t>
      </w:r>
    </w:p>
    <w:p>
      <w:r>
        <w:rPr>
          <w:b/>
        </w:rPr>
        <w:t>B1 x Neo-Hookean:</w:t>
      </w:r>
    </w:p>
    <w:p>
      <w:r>
        <w:rPr>
          <w:b w:val="0"/>
        </w:rPr>
        <w:t>Table 18-R10o. B1 x Neo-Hookean: displacement L2, H1 semi-norm, tangent-energy norm, and reaction-force error, FEM vs. operator, all sixteen resolutions tested, same fine reference (N=201). The operator's own N=3..11 cells here come from a dedicated follow-up run against the same final checkpoint (see the gap note above).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27.36%</w:t>
            </w:r>
          </w:p>
        </w:tc>
        <w:tc>
          <w:tcPr>
            <w:tcW w:type="dxa" w:w="1040"/>
          </w:tcPr>
          <w:p>
            <w:r>
              <w:t>17.92%</w:t>
            </w:r>
          </w:p>
        </w:tc>
        <w:tc>
          <w:tcPr>
            <w:tcW w:type="dxa" w:w="1040"/>
          </w:tcPr>
          <w:p>
            <w:r>
              <w:t>37.39%</w:t>
            </w:r>
          </w:p>
        </w:tc>
        <w:tc>
          <w:tcPr>
            <w:tcW w:type="dxa" w:w="1040"/>
          </w:tcPr>
          <w:p>
            <w:r>
              <w:t>15.10%</w:t>
            </w:r>
          </w:p>
        </w:tc>
        <w:tc>
          <w:tcPr>
            <w:tcW w:type="dxa" w:w="1040"/>
          </w:tcPr>
          <w:p>
            <w:r>
              <w:t>27.81%</w:t>
            </w:r>
          </w:p>
        </w:tc>
        <w:tc>
          <w:tcPr>
            <w:tcW w:type="dxa" w:w="1040"/>
          </w:tcPr>
          <w:p>
            <w:r>
              <w:t>4.47%</w:t>
            </w:r>
          </w:p>
        </w:tc>
        <w:tc>
          <w:tcPr>
            <w:tcW w:type="dxa" w:w="1040"/>
          </w:tcPr>
          <w:p>
            <w:r>
              <w:t>30.97%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2.45%</w:t>
            </w:r>
          </w:p>
        </w:tc>
        <w:tc>
          <w:tcPr>
            <w:tcW w:type="dxa" w:w="1040"/>
          </w:tcPr>
          <w:p>
            <w:r>
              <w:t>15.07%</w:t>
            </w:r>
          </w:p>
        </w:tc>
        <w:tc>
          <w:tcPr>
            <w:tcW w:type="dxa" w:w="1040"/>
          </w:tcPr>
          <w:p>
            <w:r>
              <w:t>13.75%</w:t>
            </w:r>
          </w:p>
        </w:tc>
        <w:tc>
          <w:tcPr>
            <w:tcW w:type="dxa" w:w="1040"/>
          </w:tcPr>
          <w:p>
            <w:r>
              <w:t>29.28%</w:t>
            </w:r>
          </w:p>
        </w:tc>
        <w:tc>
          <w:tcPr>
            <w:tcW w:type="dxa" w:w="1040"/>
          </w:tcPr>
          <w:p>
            <w:r>
              <w:t>11.31%</w:t>
            </w:r>
          </w:p>
        </w:tc>
        <w:tc>
          <w:tcPr>
            <w:tcW w:type="dxa" w:w="1040"/>
          </w:tcPr>
          <w:p>
            <w:r>
              <w:t>24.52%</w:t>
            </w:r>
          </w:p>
        </w:tc>
        <w:tc>
          <w:tcPr>
            <w:tcW w:type="dxa" w:w="1040"/>
          </w:tcPr>
          <w:p>
            <w:r>
              <w:t>2.62%</w:t>
            </w:r>
          </w:p>
        </w:tc>
        <w:tc>
          <w:tcPr>
            <w:tcW w:type="dxa" w:w="1040"/>
          </w:tcPr>
          <w:p>
            <w:r>
              <w:t>13.89%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1.65%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11.22%</w:t>
            </w:r>
          </w:p>
        </w:tc>
        <w:tc>
          <w:tcPr>
            <w:tcW w:type="dxa" w:w="1040"/>
          </w:tcPr>
          <w:p>
            <w:r>
              <w:t>27.82%</w:t>
            </w:r>
          </w:p>
        </w:tc>
        <w:tc>
          <w:tcPr>
            <w:tcW w:type="dxa" w:w="1040"/>
          </w:tcPr>
          <w:p>
            <w:r>
              <w:t>9.22%</w:t>
            </w:r>
          </w:p>
        </w:tc>
        <w:tc>
          <w:tcPr>
            <w:tcW w:type="dxa" w:w="1040"/>
          </w:tcPr>
          <w:p>
            <w:r>
              <w:t>24.37%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10.86%</w:t>
            </w:r>
          </w:p>
        </w:tc>
        <w:tc>
          <w:tcPr>
            <w:tcW w:type="dxa" w:w="1040"/>
          </w:tcPr>
          <w:p>
            <w:r>
              <w:t>9.35%</w:t>
            </w:r>
          </w:p>
        </w:tc>
        <w:tc>
          <w:tcPr>
            <w:tcW w:type="dxa" w:w="1040"/>
          </w:tcPr>
          <w:p>
            <w:r>
              <w:t>26.42%</w:t>
            </w:r>
          </w:p>
        </w:tc>
        <w:tc>
          <w:tcPr>
            <w:tcW w:type="dxa" w:w="1040"/>
          </w:tcPr>
          <w:p>
            <w:r>
              <w:t>7.84%</w:t>
            </w:r>
          </w:p>
        </w:tc>
        <w:tc>
          <w:tcPr>
            <w:tcW w:type="dxa" w:w="1040"/>
          </w:tcPr>
          <w:p>
            <w:r>
              <w:t>21.94%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6.99%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0.62%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6.33%</w:t>
            </w:r>
          </w:p>
        </w:tc>
        <w:tc>
          <w:tcPr>
            <w:tcW w:type="dxa" w:w="1040"/>
          </w:tcPr>
          <w:p>
            <w:r>
              <w:t>22.90%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13.93%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7.20%</w:t>
            </w:r>
          </w:p>
        </w:tc>
        <w:tc>
          <w:tcPr>
            <w:tcW w:type="dxa" w:w="1040"/>
          </w:tcPr>
          <w:p>
            <w:r>
              <w:t>5.26%</w:t>
            </w:r>
          </w:p>
        </w:tc>
        <w:tc>
          <w:tcPr>
            <w:tcW w:type="dxa" w:w="1040"/>
          </w:tcPr>
          <w:p>
            <w:r>
              <w:t>21.30%</w:t>
            </w:r>
          </w:p>
        </w:tc>
        <w:tc>
          <w:tcPr>
            <w:tcW w:type="dxa" w:w="1040"/>
          </w:tcPr>
          <w:p>
            <w:r>
              <w:t>4.75%</w:t>
            </w:r>
          </w:p>
        </w:tc>
        <w:tc>
          <w:tcPr>
            <w:tcW w:type="dxa" w:w="1040"/>
          </w:tcPr>
          <w:p>
            <w:r>
              <w:t>11.65%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9.11%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0.35%</w:t>
            </w:r>
          </w:p>
        </w:tc>
        <w:tc>
          <w:tcPr>
            <w:tcW w:type="dxa" w:w="1040"/>
          </w:tcPr>
          <w:p>
            <w:r>
              <w:t>6.14%</w:t>
            </w:r>
          </w:p>
        </w:tc>
        <w:tc>
          <w:tcPr>
            <w:tcW w:type="dxa" w:w="1040"/>
          </w:tcPr>
          <w:p>
            <w:r>
              <w:t>4.85%</w:t>
            </w:r>
          </w:p>
        </w:tc>
        <w:tc>
          <w:tcPr>
            <w:tcW w:type="dxa" w:w="1040"/>
          </w:tcPr>
          <w:p>
            <w:r>
              <w:t>19.98%</w:t>
            </w:r>
          </w:p>
        </w:tc>
        <w:tc>
          <w:tcPr>
            <w:tcW w:type="dxa" w:w="1040"/>
          </w:tcPr>
          <w:p>
            <w:r>
              <w:t>4.07%</w:t>
            </w:r>
          </w:p>
        </w:tc>
        <w:tc>
          <w:tcPr>
            <w:tcW w:type="dxa" w:w="1040"/>
          </w:tcPr>
          <w:p>
            <w:r>
              <w:t>10.51%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7.41%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4.49%</w:t>
            </w:r>
          </w:p>
        </w:tc>
        <w:tc>
          <w:tcPr>
            <w:tcW w:type="dxa" w:w="1040"/>
          </w:tcPr>
          <w:p>
            <w:r>
              <w:t>3.92%</w:t>
            </w:r>
          </w:p>
        </w:tc>
        <w:tc>
          <w:tcPr>
            <w:tcW w:type="dxa" w:w="1040"/>
          </w:tcPr>
          <w:p>
            <w:r>
              <w:t>17.12%</w:t>
            </w:r>
          </w:p>
        </w:tc>
        <w:tc>
          <w:tcPr>
            <w:tcW w:type="dxa" w:w="1040"/>
          </w:tcPr>
          <w:p>
            <w:r>
              <w:t>3.29%</w:t>
            </w:r>
          </w:p>
        </w:tc>
        <w:tc>
          <w:tcPr>
            <w:tcW w:type="dxa" w:w="1040"/>
          </w:tcPr>
          <w:p>
            <w:r>
              <w:t>8.66%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5.07%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0.17%</w:t>
            </w:r>
          </w:p>
        </w:tc>
        <w:tc>
          <w:tcPr>
            <w:tcW w:type="dxa" w:w="1040"/>
          </w:tcPr>
          <w:p>
            <w:r>
              <w:t>3.48%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15.04%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7.47%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3.73%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2.81%</w:t>
            </w:r>
          </w:p>
        </w:tc>
        <w:tc>
          <w:tcPr>
            <w:tcW w:type="dxa" w:w="1040"/>
          </w:tcPr>
          <w:p>
            <w:r>
              <w:t>3.04%</w:t>
            </w:r>
          </w:p>
        </w:tc>
        <w:tc>
          <w:tcPr>
            <w:tcW w:type="dxa" w:w="1040"/>
          </w:tcPr>
          <w:p>
            <w:r>
              <w:t>13.43%</w:t>
            </w:r>
          </w:p>
        </w:tc>
        <w:tc>
          <w:tcPr>
            <w:tcW w:type="dxa" w:w="1040"/>
          </w:tcPr>
          <w:p>
            <w:r>
              <w:t>2.40%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2.57%</w:t>
            </w:r>
          </w:p>
        </w:tc>
        <w:tc>
          <w:tcPr>
            <w:tcW w:type="dxa" w:w="1040"/>
          </w:tcPr>
          <w:p>
            <w:r>
              <w:t>12.14%</w:t>
            </w:r>
          </w:p>
        </w:tc>
        <w:tc>
          <w:tcPr>
            <w:tcW w:type="dxa" w:w="1040"/>
          </w:tcPr>
          <w:p>
            <w:r>
              <w:t>2.13%</w:t>
            </w:r>
          </w:p>
        </w:tc>
        <w:tc>
          <w:tcPr>
            <w:tcW w:type="dxa" w:w="1040"/>
          </w:tcPr>
          <w:p>
            <w:r>
              <w:t>6.03%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11.12%</w:t>
            </w:r>
          </w:p>
        </w:tc>
        <w:tc>
          <w:tcPr>
            <w:tcW w:type="dxa" w:w="1040"/>
          </w:tcPr>
          <w:p>
            <w:r>
              <w:t>1.90%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1.95%</w:t>
            </w:r>
          </w:p>
        </w:tc>
        <w:tc>
          <w:tcPr>
            <w:tcW w:type="dxa" w:w="1040"/>
          </w:tcPr>
          <w:p>
            <w:r>
              <w:t>10.27%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9.57%</w:t>
            </w:r>
          </w:p>
        </w:tc>
        <w:tc>
          <w:tcPr>
            <w:tcW w:type="dxa" w:w="1040"/>
          </w:tcPr>
          <w:p>
            <w:r>
              <w:t>1.70%</w:t>
            </w:r>
          </w:p>
        </w:tc>
        <w:tc>
          <w:tcPr>
            <w:tcW w:type="dxa" w:w="1040"/>
          </w:tcPr>
          <w:p>
            <w:r>
              <w:t>4.92%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2.43%</w:t>
            </w:r>
          </w:p>
        </w:tc>
        <w:tc>
          <w:tcPr>
            <w:tcW w:type="dxa" w:w="1040"/>
          </w:tcPr>
          <w:p>
            <w:r>
              <w:t>8.97%</w:t>
            </w:r>
          </w:p>
        </w:tc>
        <w:tc>
          <w:tcPr>
            <w:tcW w:type="dxa" w:w="1040"/>
          </w:tcPr>
          <w:p>
            <w:r>
              <w:t>1.44%</w:t>
            </w:r>
          </w:p>
        </w:tc>
        <w:tc>
          <w:tcPr>
            <w:tcW w:type="dxa" w:w="1040"/>
          </w:tcPr>
          <w:p>
            <w:r>
              <w:t>4.68%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1.59%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8.47%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4.48%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1.53%</w:t>
            </w:r>
          </w:p>
        </w:tc>
      </w:tr>
    </w:tbl>
    <w:p>
      <w:r>
        <w:rPr>
          <w:b w:val="0"/>
        </w:rPr>
        <w:t>Table 18-R10p. B1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2957"/>
            <wp:docPr id="557" name="Picture 5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18-R10p).</w:t>
      </w:r>
    </w:p>
    <w:p>
      <w:r>
        <w:rPr>
          <w:b/>
        </w:rPr>
        <w:t>B1 x Mooney-Rivlin:</w:t>
      </w:r>
    </w:p>
    <w:p>
      <w:r>
        <w:rPr>
          <w:b w:val="0"/>
        </w:rPr>
        <w:t>Table 18-R10q. B1 x Mooney-Rivlin: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18.48%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1.79%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5.92%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5.50%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0.38%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18.20%</w:t>
            </w:r>
          </w:p>
        </w:tc>
        <w:tc>
          <w:tcPr>
            <w:tcW w:type="dxa" w:w="1040"/>
          </w:tcPr>
          <w:p>
            <w:r>
              <w:t>4.33%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5.35%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6.75%</w:t>
            </w:r>
          </w:p>
        </w:tc>
        <w:tc>
          <w:tcPr>
            <w:tcW w:type="dxa" w:w="1040"/>
          </w:tcPr>
          <w:p>
            <w:r>
              <w:t>4.12%</w:t>
            </w:r>
          </w:p>
        </w:tc>
        <w:tc>
          <w:tcPr>
            <w:tcW w:type="dxa" w:w="1040"/>
          </w:tcPr>
          <w:p>
            <w:r>
              <w:t>15.95%</w:t>
            </w:r>
          </w:p>
        </w:tc>
        <w:tc>
          <w:tcPr>
            <w:tcW w:type="dxa" w:w="1040"/>
          </w:tcPr>
          <w:p>
            <w:r>
              <w:t>3.50%</w:t>
            </w:r>
          </w:p>
        </w:tc>
        <w:tc>
          <w:tcPr>
            <w:tcW w:type="dxa" w:w="1040"/>
          </w:tcPr>
          <w:p>
            <w:r>
              <w:t>9.25%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4.37%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0.19%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3.02%</w:t>
            </w:r>
          </w:p>
        </w:tc>
        <w:tc>
          <w:tcPr>
            <w:tcW w:type="dxa" w:w="1040"/>
          </w:tcPr>
          <w:p>
            <w:r>
              <w:t>14.53%</w:t>
            </w:r>
          </w:p>
        </w:tc>
        <w:tc>
          <w:tcPr>
            <w:tcW w:type="dxa" w:w="1040"/>
          </w:tcPr>
          <w:p>
            <w:r>
              <w:t>3.06%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0.14%</w:t>
            </w:r>
          </w:p>
        </w:tc>
        <w:tc>
          <w:tcPr>
            <w:tcW w:type="dxa" w:w="1040"/>
          </w:tcPr>
          <w:p>
            <w:r>
              <w:t>5.75%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13.48%</w:t>
            </w:r>
          </w:p>
        </w:tc>
        <w:tc>
          <w:tcPr>
            <w:tcW w:type="dxa" w:w="1040"/>
          </w:tcPr>
          <w:p>
            <w:r>
              <w:t>2.56%</w:t>
            </w:r>
          </w:p>
        </w:tc>
        <w:tc>
          <w:tcPr>
            <w:tcW w:type="dxa" w:w="1040"/>
          </w:tcPr>
          <w:p>
            <w:r>
              <w:t>7.63%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2.89%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5.33%</w:t>
            </w:r>
          </w:p>
        </w:tc>
        <w:tc>
          <w:tcPr>
            <w:tcW w:type="dxa" w:w="1040"/>
          </w:tcPr>
          <w:p>
            <w:r>
              <w:t>2.71%</w:t>
            </w:r>
          </w:p>
        </w:tc>
        <w:tc>
          <w:tcPr>
            <w:tcW w:type="dxa" w:w="1040"/>
          </w:tcPr>
          <w:p>
            <w:r>
              <w:t>12.66%</w:t>
            </w:r>
          </w:p>
        </w:tc>
        <w:tc>
          <w:tcPr>
            <w:tcW w:type="dxa" w:w="1040"/>
          </w:tcPr>
          <w:p>
            <w:r>
              <w:t>2.28%</w:t>
            </w:r>
          </w:p>
        </w:tc>
        <w:tc>
          <w:tcPr>
            <w:tcW w:type="dxa" w:w="1040"/>
          </w:tcPr>
          <w:p>
            <w:r>
              <w:t>7.12%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4.94%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12.01%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1.81%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4.59%</w:t>
            </w:r>
          </w:p>
        </w:tc>
        <w:tc>
          <w:tcPr>
            <w:tcW w:type="dxa" w:w="1040"/>
          </w:tcPr>
          <w:p>
            <w:r>
              <w:t>2.05%</w:t>
            </w:r>
          </w:p>
        </w:tc>
        <w:tc>
          <w:tcPr>
            <w:tcW w:type="dxa" w:w="1040"/>
          </w:tcPr>
          <w:p>
            <w:r>
              <w:t>11.48%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6.42%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1.39%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4.01%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10.74%</w:t>
            </w:r>
          </w:p>
        </w:tc>
        <w:tc>
          <w:tcPr>
            <w:tcW w:type="dxa" w:w="1040"/>
          </w:tcPr>
          <w:p>
            <w:r>
              <w:t>1.55%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0.81%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10.49%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5.91%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0.74%</w:t>
            </w:r>
          </w:p>
        </w:tc>
      </w:tr>
    </w:tbl>
    <w:p>
      <w:r>
        <w:rPr>
          <w:b w:val="0"/>
        </w:rPr>
        <w:t>Table 18-R10r. B1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6.17%</w:t>
            </w:r>
          </w:p>
        </w:tc>
        <w:tc>
          <w:tcPr>
            <w:tcW w:type="dxa" w:w="1337"/>
          </w:tcPr>
          <w:p>
            <w:r>
              <w:t>19.32%</w:t>
            </w:r>
          </w:p>
        </w:tc>
        <w:tc>
          <w:tcPr>
            <w:tcW w:type="dxa" w:w="1337"/>
          </w:tcPr>
          <w:p>
            <w:r>
              <w:t>25.09%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63.68%</w:t>
            </w:r>
          </w:p>
        </w:tc>
        <w:tc>
          <w:tcPr>
            <w:tcW w:type="dxa" w:w="1337"/>
          </w:tcPr>
          <w:p>
            <w:r>
              <w:t>60.16%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7.73%</w:t>
            </w:r>
          </w:p>
        </w:tc>
        <w:tc>
          <w:tcPr>
            <w:tcW w:type="dxa" w:w="1337"/>
          </w:tcPr>
          <w:p>
            <w:r>
              <w:t>29.63%</w:t>
            </w:r>
          </w:p>
        </w:tc>
        <w:tc>
          <w:tcPr>
            <w:tcW w:type="dxa" w:w="1337"/>
          </w:tcPr>
          <w:p>
            <w:r>
              <w:t>23.93%</w:t>
            </w:r>
          </w:p>
        </w:tc>
        <w:tc>
          <w:tcPr>
            <w:tcW w:type="dxa" w:w="1337"/>
          </w:tcPr>
          <w:p>
            <w:r>
              <w:t>7.95%</w:t>
            </w:r>
          </w:p>
        </w:tc>
        <w:tc>
          <w:tcPr>
            <w:tcW w:type="dxa" w:w="1337"/>
          </w:tcPr>
          <w:p>
            <w:r>
              <w:t>63.27%</w:t>
            </w:r>
          </w:p>
        </w:tc>
        <w:tc>
          <w:tcPr>
            <w:tcW w:type="dxa" w:w="1337"/>
          </w:tcPr>
          <w:p>
            <w:r>
              <w:t>55.33%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8.62%</w:t>
            </w:r>
          </w:p>
        </w:tc>
        <w:tc>
          <w:tcPr>
            <w:tcW w:type="dxa" w:w="1337"/>
          </w:tcPr>
          <w:p>
            <w:r>
              <w:t>21.79%</w:t>
            </w:r>
          </w:p>
        </w:tc>
        <w:tc>
          <w:tcPr>
            <w:tcW w:type="dxa" w:w="1337"/>
          </w:tcPr>
          <w:p>
            <w:r>
              <w:t>20.71%</w:t>
            </w:r>
          </w:p>
        </w:tc>
        <w:tc>
          <w:tcPr>
            <w:tcW w:type="dxa" w:w="1337"/>
          </w:tcPr>
          <w:p>
            <w:r>
              <w:t>11.92%</w:t>
            </w:r>
          </w:p>
        </w:tc>
        <w:tc>
          <w:tcPr>
            <w:tcW w:type="dxa" w:w="1337"/>
          </w:tcPr>
          <w:p>
            <w:r>
              <w:t>61.39%</w:t>
            </w:r>
          </w:p>
        </w:tc>
        <w:tc>
          <w:tcPr>
            <w:tcW w:type="dxa" w:w="1337"/>
          </w:tcPr>
          <w:p>
            <w:r>
              <w:t>57.15%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8.68%</w:t>
            </w:r>
          </w:p>
        </w:tc>
        <w:tc>
          <w:tcPr>
            <w:tcW w:type="dxa" w:w="1337"/>
          </w:tcPr>
          <w:p>
            <w:r>
              <w:t>23.90%</w:t>
            </w:r>
          </w:p>
        </w:tc>
        <w:tc>
          <w:tcPr>
            <w:tcW w:type="dxa" w:w="1337"/>
          </w:tcPr>
          <w:p>
            <w:r>
              <w:t>17.67%</w:t>
            </w:r>
          </w:p>
        </w:tc>
        <w:tc>
          <w:tcPr>
            <w:tcW w:type="dxa" w:w="1337"/>
          </w:tcPr>
          <w:p>
            <w:r>
              <w:t>6.99%</w:t>
            </w:r>
          </w:p>
        </w:tc>
        <w:tc>
          <w:tcPr>
            <w:tcW w:type="dxa" w:w="1337"/>
          </w:tcPr>
          <w:p>
            <w:r>
              <w:t>59.66%</w:t>
            </w:r>
          </w:p>
        </w:tc>
        <w:tc>
          <w:tcPr>
            <w:tcW w:type="dxa" w:w="1337"/>
          </w:tcPr>
          <w:p>
            <w:r>
              <w:t>54.51%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4.29%</w:t>
            </w:r>
          </w:p>
        </w:tc>
        <w:tc>
          <w:tcPr>
            <w:tcW w:type="dxa" w:w="1337"/>
          </w:tcPr>
          <w:p>
            <w:r>
              <w:t>17.64%</w:t>
            </w:r>
          </w:p>
        </w:tc>
        <w:tc>
          <w:tcPr>
            <w:tcW w:type="dxa" w:w="1337"/>
          </w:tcPr>
          <w:p>
            <w:r>
              <w:t>9.95%</w:t>
            </w:r>
          </w:p>
        </w:tc>
        <w:tc>
          <w:tcPr>
            <w:tcW w:type="dxa" w:w="1337"/>
          </w:tcPr>
          <w:p>
            <w:r>
              <w:t>0.75%</w:t>
            </w:r>
          </w:p>
        </w:tc>
        <w:tc>
          <w:tcPr>
            <w:tcW w:type="dxa" w:w="1337"/>
          </w:tcPr>
          <w:p>
            <w:r>
              <w:t>55.10%</w:t>
            </w:r>
          </w:p>
        </w:tc>
        <w:tc>
          <w:tcPr>
            <w:tcW w:type="dxa" w:w="1337"/>
          </w:tcPr>
          <w:p>
            <w:r>
              <w:t>49.85%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2.07%</w:t>
            </w:r>
          </w:p>
        </w:tc>
        <w:tc>
          <w:tcPr>
            <w:tcW w:type="dxa" w:w="1337"/>
          </w:tcPr>
          <w:p>
            <w:r>
              <w:t>13.11%</w:t>
            </w:r>
          </w:p>
        </w:tc>
        <w:tc>
          <w:tcPr>
            <w:tcW w:type="dxa" w:w="1337"/>
          </w:tcPr>
          <w:p>
            <w:r>
              <w:t>5.98%</w:t>
            </w:r>
          </w:p>
        </w:tc>
        <w:tc>
          <w:tcPr>
            <w:tcW w:type="dxa" w:w="1337"/>
          </w:tcPr>
          <w:p>
            <w:r>
              <w:t>5.07%</w:t>
            </w:r>
          </w:p>
        </w:tc>
        <w:tc>
          <w:tcPr>
            <w:tcW w:type="dxa" w:w="1337"/>
          </w:tcPr>
          <w:p>
            <w:r>
              <w:t>52.49%</w:t>
            </w:r>
          </w:p>
        </w:tc>
        <w:tc>
          <w:tcPr>
            <w:tcW w:type="dxa" w:w="1337"/>
          </w:tcPr>
          <w:p>
            <w:r>
              <w:t>46.98%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10.69%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8.76%</w:t>
            </w:r>
          </w:p>
        </w:tc>
        <w:tc>
          <w:tcPr>
            <w:tcW w:type="dxa" w:w="1337"/>
          </w:tcPr>
          <w:p>
            <w:r>
              <w:t>50.15%</w:t>
            </w:r>
          </w:p>
        </w:tc>
        <w:tc>
          <w:tcPr>
            <w:tcW w:type="dxa" w:w="1337"/>
          </w:tcPr>
          <w:p>
            <w:r>
              <w:t>44.46%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1.44%</w:t>
            </w:r>
          </w:p>
        </w:tc>
        <w:tc>
          <w:tcPr>
            <w:tcW w:type="dxa" w:w="1337"/>
          </w:tcPr>
          <w:p>
            <w:r>
              <w:t>8.37%</w:t>
            </w:r>
          </w:p>
        </w:tc>
        <w:tc>
          <w:tcPr>
            <w:tcW w:type="dxa" w:w="1337"/>
          </w:tcPr>
          <w:p>
            <w:r>
              <w:t>3.17%</w:t>
            </w:r>
          </w:p>
        </w:tc>
        <w:tc>
          <w:tcPr>
            <w:tcW w:type="dxa" w:w="1337"/>
          </w:tcPr>
          <w:p>
            <w:r>
              <w:t>14.17%</w:t>
            </w:r>
          </w:p>
        </w:tc>
        <w:tc>
          <w:tcPr>
            <w:tcW w:type="dxa" w:w="1337"/>
          </w:tcPr>
          <w:p>
            <w:r>
              <w:t>46.07%</w:t>
            </w:r>
          </w:p>
        </w:tc>
        <w:tc>
          <w:tcPr>
            <w:tcW w:type="dxa" w:w="1337"/>
          </w:tcPr>
          <w:p>
            <w:r>
              <w:t>40.13%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1.04%</w:t>
            </w:r>
          </w:p>
        </w:tc>
        <w:tc>
          <w:tcPr>
            <w:tcW w:type="dxa" w:w="1337"/>
          </w:tcPr>
          <w:p>
            <w:r>
              <w:t>6.76%</w:t>
            </w:r>
          </w:p>
        </w:tc>
        <w:tc>
          <w:tcPr>
            <w:tcW w:type="dxa" w:w="1337"/>
          </w:tcPr>
          <w:p>
            <w:r>
              <w:t>6.98%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42.61%</w:t>
            </w:r>
          </w:p>
        </w:tc>
        <w:tc>
          <w:tcPr>
            <w:tcW w:type="dxa" w:w="1337"/>
          </w:tcPr>
          <w:p>
            <w:r>
              <w:t>36.54%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5.84%</w:t>
            </w:r>
          </w:p>
        </w:tc>
        <w:tc>
          <w:tcPr>
            <w:tcW w:type="dxa" w:w="1337"/>
          </w:tcPr>
          <w:p>
            <w:r>
              <w:t>9.69%</w:t>
            </w:r>
          </w:p>
        </w:tc>
        <w:tc>
          <w:tcPr>
            <w:tcW w:type="dxa" w:w="1337"/>
          </w:tcPr>
          <w:p>
            <w:r>
              <w:t>18.94%</w:t>
            </w:r>
          </w:p>
        </w:tc>
        <w:tc>
          <w:tcPr>
            <w:tcW w:type="dxa" w:w="1337"/>
          </w:tcPr>
          <w:p>
            <w:r>
              <w:t>39.59%</w:t>
            </w:r>
          </w:p>
        </w:tc>
        <w:tc>
          <w:tcPr>
            <w:tcW w:type="dxa" w:w="1337"/>
          </w:tcPr>
          <w:p>
            <w:r>
              <w:t>33.92%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0.69%</w:t>
            </w:r>
          </w:p>
        </w:tc>
        <w:tc>
          <w:tcPr>
            <w:tcW w:type="dxa" w:w="1337"/>
          </w:tcPr>
          <w:p>
            <w:r>
              <w:t>5.23%</w:t>
            </w:r>
          </w:p>
        </w:tc>
        <w:tc>
          <w:tcPr>
            <w:tcW w:type="dxa" w:w="1337"/>
          </w:tcPr>
          <w:p>
            <w:r>
              <w:t>11.85%</w:t>
            </w:r>
          </w:p>
        </w:tc>
        <w:tc>
          <w:tcPr>
            <w:tcW w:type="dxa" w:w="1337"/>
          </w:tcPr>
          <w:p>
            <w:r>
              <w:t>19.33%</w:t>
            </w:r>
          </w:p>
        </w:tc>
        <w:tc>
          <w:tcPr>
            <w:tcW w:type="dxa" w:w="1337"/>
          </w:tcPr>
          <w:p>
            <w:r>
              <w:t>36.92%</w:t>
            </w:r>
          </w:p>
        </w:tc>
        <w:tc>
          <w:tcPr>
            <w:tcW w:type="dxa" w:w="1337"/>
          </w:tcPr>
          <w:p>
            <w:r>
              <w:t>32.03%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4.59%</w:t>
            </w:r>
          </w:p>
        </w:tc>
        <w:tc>
          <w:tcPr>
            <w:tcW w:type="dxa" w:w="1337"/>
          </w:tcPr>
          <w:p>
            <w:r>
              <w:t>13.39%</w:t>
            </w:r>
          </w:p>
        </w:tc>
        <w:tc>
          <w:tcPr>
            <w:tcW w:type="dxa" w:w="1337"/>
          </w:tcPr>
          <w:p>
            <w:r>
              <w:t>19.08%</w:t>
            </w:r>
          </w:p>
        </w:tc>
        <w:tc>
          <w:tcPr>
            <w:tcW w:type="dxa" w:w="1337"/>
          </w:tcPr>
          <w:p>
            <w:r>
              <w:t>34.53%</w:t>
            </w:r>
          </w:p>
        </w:tc>
        <w:tc>
          <w:tcPr>
            <w:tcW w:type="dxa" w:w="1337"/>
          </w:tcPr>
          <w:p>
            <w:r>
              <w:t>30.59%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0.50%</w:t>
            </w:r>
          </w:p>
        </w:tc>
        <w:tc>
          <w:tcPr>
            <w:tcW w:type="dxa" w:w="1337"/>
          </w:tcPr>
          <w:p>
            <w:r>
              <w:t>4.33%</w:t>
            </w:r>
          </w:p>
        </w:tc>
        <w:tc>
          <w:tcPr>
            <w:tcW w:type="dxa" w:w="1337"/>
          </w:tcPr>
          <w:p>
            <w:r>
              <w:t>14.06%</w:t>
            </w:r>
          </w:p>
        </w:tc>
        <w:tc>
          <w:tcPr>
            <w:tcW w:type="dxa" w:w="1337"/>
          </w:tcPr>
          <w:p>
            <w:r>
              <w:t>18.42%</w:t>
            </w:r>
          </w:p>
        </w:tc>
        <w:tc>
          <w:tcPr>
            <w:tcW w:type="dxa" w:w="1337"/>
          </w:tcPr>
          <w:p>
            <w:r>
              <w:t>32.35%</w:t>
            </w:r>
          </w:p>
        </w:tc>
        <w:tc>
          <w:tcPr>
            <w:tcW w:type="dxa" w:w="1337"/>
          </w:tcPr>
          <w:p>
            <w:r>
              <w:t>29.45%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14.12%</w:t>
            </w:r>
          </w:p>
        </w:tc>
        <w:tc>
          <w:tcPr>
            <w:tcW w:type="dxa" w:w="1337"/>
          </w:tcPr>
          <w:p>
            <w:r>
              <w:t>17.46%</w:t>
            </w:r>
          </w:p>
        </w:tc>
        <w:tc>
          <w:tcPr>
            <w:tcW w:type="dxa" w:w="1337"/>
          </w:tcPr>
          <w:p>
            <w:r>
              <w:t>30.36%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3.63%</w:t>
            </w:r>
          </w:p>
        </w:tc>
        <w:tc>
          <w:tcPr>
            <w:tcW w:type="dxa" w:w="1337"/>
          </w:tcPr>
          <w:p>
            <w:r>
              <w:t>13.73%</w:t>
            </w:r>
          </w:p>
        </w:tc>
        <w:tc>
          <w:tcPr>
            <w:tcW w:type="dxa" w:w="1337"/>
          </w:tcPr>
          <w:p>
            <w:r>
              <w:t>16.00%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  <w:tc>
          <w:tcPr>
            <w:tcW w:type="dxa" w:w="1337"/>
          </w:tcPr>
          <w:p>
            <w:r>
              <w:t>27.79%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3.29%</w:t>
            </w:r>
          </w:p>
        </w:tc>
        <w:tc>
          <w:tcPr>
            <w:tcW w:type="dxa" w:w="1337"/>
          </w:tcPr>
          <w:p>
            <w:r>
              <w:t>12.39%</w:t>
            </w:r>
          </w:p>
        </w:tc>
        <w:tc>
          <w:tcPr>
            <w:tcW w:type="dxa" w:w="1337"/>
          </w:tcPr>
          <w:p>
            <w:r>
              <w:t>13.14%</w:t>
            </w:r>
          </w:p>
        </w:tc>
        <w:tc>
          <w:tcPr>
            <w:tcW w:type="dxa" w:w="1337"/>
          </w:tcPr>
          <w:p>
            <w:r>
              <w:t>26.83%</w:t>
            </w:r>
          </w:p>
        </w:tc>
        <w:tc>
          <w:tcPr>
            <w:tcW w:type="dxa" w:w="1337"/>
          </w:tcPr>
          <w:p>
            <w:r>
              <w:t>27.18%</w:t>
            </w:r>
          </w:p>
        </w:tc>
      </w:tr>
    </w:tbl>
    <w:p>
      <w:r>
        <w:rPr>
          <w:b/>
        </w:rPr>
        <w:t>B1 x Arruda-Boyce:</w:t>
      </w:r>
    </w:p>
    <w:p>
      <w:r>
        <w:rPr>
          <w:b w:val="0"/>
        </w:rPr>
        <w:t>Table 18-R10s. B1 x Arruda-Boyce: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2.90%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12.22%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9.08%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9.62%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3.66%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10.34%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24.60%</w:t>
            </w:r>
          </w:p>
        </w:tc>
        <w:tc>
          <w:tcPr>
            <w:tcW w:type="dxa" w:w="1040"/>
          </w:tcPr>
          <w:p>
            <w:r>
              <w:t>3.11%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0.21%</w:t>
            </w:r>
          </w:p>
        </w:tc>
        <w:tc>
          <w:tcPr>
            <w:tcW w:type="dxa" w:w="1040"/>
          </w:tcPr>
          <w:p>
            <w:r>
              <w:t>7.83%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8.17%</w:t>
            </w:r>
          </w:p>
        </w:tc>
        <w:tc>
          <w:tcPr>
            <w:tcW w:type="dxa" w:w="1040"/>
          </w:tcPr>
          <w:p>
            <w:r>
              <w:t>3.10%</w:t>
            </w:r>
          </w:p>
        </w:tc>
        <w:tc>
          <w:tcPr>
            <w:tcW w:type="dxa" w:w="1040"/>
          </w:tcPr>
          <w:p>
            <w:r>
              <w:t>21.00%</w:t>
            </w:r>
          </w:p>
        </w:tc>
        <w:tc>
          <w:tcPr>
            <w:tcW w:type="dxa" w:w="1040"/>
          </w:tcPr>
          <w:p>
            <w:r>
              <w:t>2.48%</w:t>
            </w:r>
          </w:p>
        </w:tc>
        <w:tc>
          <w:tcPr>
            <w:tcW w:type="dxa" w:w="1040"/>
          </w:tcPr>
          <w:p>
            <w:r>
              <w:t>9.79%</w:t>
            </w:r>
          </w:p>
        </w:tc>
        <w:tc>
          <w:tcPr>
            <w:tcW w:type="dxa" w:w="1040"/>
          </w:tcPr>
          <w:p>
            <w:r>
              <w:t>0.12%</w:t>
            </w:r>
          </w:p>
        </w:tc>
        <w:tc>
          <w:tcPr>
            <w:tcW w:type="dxa" w:w="1040"/>
          </w:tcPr>
          <w:p>
            <w:r>
              <w:t>7.03%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2.26%</w:t>
            </w:r>
          </w:p>
        </w:tc>
        <w:tc>
          <w:tcPr>
            <w:tcW w:type="dxa" w:w="1040"/>
          </w:tcPr>
          <w:p>
            <w:r>
              <w:t>18.30%</w:t>
            </w:r>
          </w:p>
        </w:tc>
        <w:tc>
          <w:tcPr>
            <w:tcW w:type="dxa" w:w="1040"/>
          </w:tcPr>
          <w:p>
            <w:r>
              <w:t>2.16%</w:t>
            </w:r>
          </w:p>
        </w:tc>
        <w:tc>
          <w:tcPr>
            <w:tcW w:type="dxa" w:w="1040"/>
          </w:tcPr>
          <w:p>
            <w:r>
              <w:t>8.50%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5.82%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  <w:tc>
          <w:tcPr>
            <w:tcW w:type="dxa" w:w="1040"/>
          </w:tcPr>
          <w:p>
            <w:r>
              <w:t>16.20%</w:t>
            </w:r>
          </w:p>
        </w:tc>
        <w:tc>
          <w:tcPr>
            <w:tcW w:type="dxa" w:w="1040"/>
          </w:tcPr>
          <w:p>
            <w:r>
              <w:t>1.78%</w:t>
            </w:r>
          </w:p>
        </w:tc>
        <w:tc>
          <w:tcPr>
            <w:tcW w:type="dxa" w:w="1040"/>
          </w:tcPr>
          <w:p>
            <w:r>
              <w:t>7.48%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4.56%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4.50%</w:t>
            </w:r>
          </w:p>
        </w:tc>
        <w:tc>
          <w:tcPr>
            <w:tcW w:type="dxa" w:w="1040"/>
          </w:tcPr>
          <w:p>
            <w:r>
              <w:t>2.00%</w:t>
            </w:r>
          </w:p>
        </w:tc>
        <w:tc>
          <w:tcPr>
            <w:tcW w:type="dxa" w:w="1040"/>
          </w:tcPr>
          <w:p>
            <w:r>
              <w:t>14.58%</w:t>
            </w:r>
          </w:p>
        </w:tc>
        <w:tc>
          <w:tcPr>
            <w:tcW w:type="dxa" w:w="1040"/>
          </w:tcPr>
          <w:p>
            <w:r>
              <w:t>1.58%</w:t>
            </w:r>
          </w:p>
        </w:tc>
        <w:tc>
          <w:tcPr>
            <w:tcW w:type="dxa" w:w="1040"/>
          </w:tcPr>
          <w:p>
            <w:r>
              <w:t>6.72%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3.38%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3.76%</w:t>
            </w:r>
          </w:p>
        </w:tc>
        <w:tc>
          <w:tcPr>
            <w:tcW w:type="dxa" w:w="1040"/>
          </w:tcPr>
          <w:p>
            <w:r>
              <w:t>1.67%</w:t>
            </w:r>
          </w:p>
        </w:tc>
        <w:tc>
          <w:tcPr>
            <w:tcW w:type="dxa" w:w="1040"/>
          </w:tcPr>
          <w:p>
            <w:r>
              <w:t>13.33%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3.23%</w:t>
            </w:r>
          </w:p>
        </w:tc>
        <w:tc>
          <w:tcPr>
            <w:tcW w:type="dxa" w:w="1040"/>
          </w:tcPr>
          <w:p>
            <w:r>
              <w:t>1.52%</w:t>
            </w:r>
          </w:p>
        </w:tc>
        <w:tc>
          <w:tcPr>
            <w:tcW w:type="dxa" w:w="1040"/>
          </w:tcPr>
          <w:p>
            <w:r>
              <w:t>12.40%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5.95%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1.34%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2.96%</w:t>
            </w:r>
          </w:p>
        </w:tc>
        <w:tc>
          <w:tcPr>
            <w:tcW w:type="dxa" w:w="1040"/>
          </w:tcPr>
          <w:p>
            <w:r>
              <w:t>1.08%</w:t>
            </w:r>
          </w:p>
        </w:tc>
        <w:tc>
          <w:tcPr>
            <w:tcW w:type="dxa" w:w="1040"/>
          </w:tcPr>
          <w:p>
            <w:r>
              <w:t>11.73%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5.89%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0.56%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2.93%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11.29%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6.00%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3.13%</w:t>
            </w:r>
          </w:p>
        </w:tc>
        <w:tc>
          <w:tcPr>
            <w:tcW w:type="dxa" w:w="1040"/>
          </w:tcPr>
          <w:p>
            <w:r>
              <w:t>1.62%</w:t>
            </w:r>
          </w:p>
        </w:tc>
        <w:tc>
          <w:tcPr>
            <w:tcW w:type="dxa" w:w="1040"/>
          </w:tcPr>
          <w:p>
            <w:r>
              <w:t>11.03%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0.01%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</w:tr>
    </w:tbl>
    <w:p>
      <w:r>
        <w:rPr>
          <w:b w:val="0"/>
        </w:rPr>
        <w:t>Table 18-R10t. B1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24.46%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57.00%</w:t>
            </w:r>
          </w:p>
        </w:tc>
        <w:tc>
          <w:tcPr>
            <w:tcW w:type="dxa" w:w="1337"/>
          </w:tcPr>
          <w:p>
            <w:r>
              <w:t>62.81%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23.98%</w:t>
            </w:r>
          </w:p>
        </w:tc>
        <w:tc>
          <w:tcPr>
            <w:tcW w:type="dxa" w:w="1337"/>
          </w:tcPr>
          <w:p>
            <w:r>
              <w:t>26.95%</w:t>
            </w:r>
          </w:p>
        </w:tc>
        <w:tc>
          <w:tcPr>
            <w:tcW w:type="dxa" w:w="1337"/>
          </w:tcPr>
          <w:p>
            <w:r>
              <w:t>56.97%</w:t>
            </w:r>
          </w:p>
        </w:tc>
        <w:tc>
          <w:tcPr>
            <w:tcW w:type="dxa" w:w="1337"/>
          </w:tcPr>
          <w:p>
            <w:r>
              <w:t>59.15%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19.75%</w:t>
            </w:r>
          </w:p>
        </w:tc>
        <w:tc>
          <w:tcPr>
            <w:tcW w:type="dxa" w:w="1337"/>
          </w:tcPr>
          <w:p>
            <w:r>
              <w:t>21.65%</w:t>
            </w:r>
          </w:p>
        </w:tc>
        <w:tc>
          <w:tcPr>
            <w:tcW w:type="dxa" w:w="1337"/>
          </w:tcPr>
          <w:p>
            <w:r>
              <w:t>12.08%</w:t>
            </w:r>
          </w:p>
        </w:tc>
        <w:tc>
          <w:tcPr>
            <w:tcW w:type="dxa" w:w="1337"/>
          </w:tcPr>
          <w:p>
            <w:r>
              <w:t>55.40%</w:t>
            </w:r>
          </w:p>
        </w:tc>
        <w:tc>
          <w:tcPr>
            <w:tcW w:type="dxa" w:w="1337"/>
          </w:tcPr>
          <w:p>
            <w:r>
              <w:t>50.64%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3.92%</w:t>
            </w:r>
          </w:p>
        </w:tc>
        <w:tc>
          <w:tcPr>
            <w:tcW w:type="dxa" w:w="1337"/>
          </w:tcPr>
          <w:p>
            <w:r>
              <w:t>20.52%</w:t>
            </w:r>
          </w:p>
        </w:tc>
        <w:tc>
          <w:tcPr>
            <w:tcW w:type="dxa" w:w="1337"/>
          </w:tcPr>
          <w:p>
            <w:r>
              <w:t>19.17%</w:t>
            </w:r>
          </w:p>
        </w:tc>
        <w:tc>
          <w:tcPr>
            <w:tcW w:type="dxa" w:w="1337"/>
          </w:tcPr>
          <w:p>
            <w:r>
              <w:t>10.13%</w:t>
            </w:r>
          </w:p>
        </w:tc>
        <w:tc>
          <w:tcPr>
            <w:tcW w:type="dxa" w:w="1337"/>
          </w:tcPr>
          <w:p>
            <w:r>
              <w:t>53.76%</w:t>
            </w:r>
          </w:p>
        </w:tc>
        <w:tc>
          <w:tcPr>
            <w:tcW w:type="dxa" w:w="1337"/>
          </w:tcPr>
          <w:p>
            <w:r>
              <w:t>49.41%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20.20%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49.53%</w:t>
            </w:r>
          </w:p>
        </w:tc>
        <w:tc>
          <w:tcPr>
            <w:tcW w:type="dxa" w:w="1337"/>
          </w:tcPr>
          <w:p>
            <w:r>
              <w:t>42.76%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15.06%</w:t>
            </w:r>
          </w:p>
        </w:tc>
        <w:tc>
          <w:tcPr>
            <w:tcW w:type="dxa" w:w="1337"/>
          </w:tcPr>
          <w:p>
            <w:r>
              <w:t>9.45%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47.13%</w:t>
            </w:r>
          </w:p>
        </w:tc>
        <w:tc>
          <w:tcPr>
            <w:tcW w:type="dxa" w:w="1337"/>
          </w:tcPr>
          <w:p>
            <w:r>
              <w:t>41.06%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0.85%</w:t>
            </w:r>
          </w:p>
        </w:tc>
        <w:tc>
          <w:tcPr>
            <w:tcW w:type="dxa" w:w="1337"/>
          </w:tcPr>
          <w:p>
            <w:r>
              <w:t>12.19%</w:t>
            </w:r>
          </w:p>
        </w:tc>
        <w:tc>
          <w:tcPr>
            <w:tcW w:type="dxa" w:w="1337"/>
          </w:tcPr>
          <w:p>
            <w:r>
              <w:t>6.62%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44.99%</w:t>
            </w:r>
          </w:p>
        </w:tc>
        <w:tc>
          <w:tcPr>
            <w:tcW w:type="dxa" w:w="1337"/>
          </w:tcPr>
          <w:p>
            <w:r>
              <w:t>39.94%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0.73%</w:t>
            </w:r>
          </w:p>
        </w:tc>
        <w:tc>
          <w:tcPr>
            <w:tcW w:type="dxa" w:w="1337"/>
          </w:tcPr>
          <w:p>
            <w:r>
              <w:t>9.68%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6.09%</w:t>
            </w:r>
          </w:p>
        </w:tc>
        <w:tc>
          <w:tcPr>
            <w:tcW w:type="dxa" w:w="1337"/>
          </w:tcPr>
          <w:p>
            <w:r>
              <w:t>41.29%</w:t>
            </w:r>
          </w:p>
        </w:tc>
        <w:tc>
          <w:tcPr>
            <w:tcW w:type="dxa" w:w="1337"/>
          </w:tcPr>
          <w:p>
            <w:r>
              <w:t>37.30%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1.55%</w:t>
            </w:r>
          </w:p>
        </w:tc>
        <w:tc>
          <w:tcPr>
            <w:tcW w:type="dxa" w:w="1337"/>
          </w:tcPr>
          <w:p>
            <w:r>
              <w:t>9.13%</w:t>
            </w:r>
          </w:p>
        </w:tc>
        <w:tc>
          <w:tcPr>
            <w:tcW w:type="dxa" w:w="1337"/>
          </w:tcPr>
          <w:p>
            <w:r>
              <w:t>38.17%</w:t>
            </w:r>
          </w:p>
        </w:tc>
        <w:tc>
          <w:tcPr>
            <w:tcW w:type="dxa" w:w="1337"/>
          </w:tcPr>
          <w:p>
            <w:r>
              <w:t>34.36%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  <w:tc>
          <w:tcPr>
            <w:tcW w:type="dxa" w:w="1337"/>
          </w:tcPr>
          <w:p>
            <w:r>
              <w:t>7.57%</w:t>
            </w:r>
          </w:p>
        </w:tc>
        <w:tc>
          <w:tcPr>
            <w:tcW w:type="dxa" w:w="1337"/>
          </w:tcPr>
          <w:p>
            <w:r>
              <w:t>4.00%</w:t>
            </w:r>
          </w:p>
        </w:tc>
        <w:tc>
          <w:tcPr>
            <w:tcW w:type="dxa" w:w="1337"/>
          </w:tcPr>
          <w:p>
            <w:r>
              <w:t>11.26%</w:t>
            </w:r>
          </w:p>
        </w:tc>
        <w:tc>
          <w:tcPr>
            <w:tcW w:type="dxa" w:w="1337"/>
          </w:tcPr>
          <w:p>
            <w:r>
              <w:t>35.47%</w:t>
            </w:r>
          </w:p>
        </w:tc>
        <w:tc>
          <w:tcPr>
            <w:tcW w:type="dxa" w:w="1337"/>
          </w:tcPr>
          <w:p>
            <w:r>
              <w:t>31.85%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7.24%</w:t>
            </w:r>
          </w:p>
        </w:tc>
        <w:tc>
          <w:tcPr>
            <w:tcW w:type="dxa" w:w="1337"/>
          </w:tcPr>
          <w:p>
            <w:r>
              <w:t>6.04%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33.09%</w:t>
            </w:r>
          </w:p>
        </w:tc>
        <w:tc>
          <w:tcPr>
            <w:tcW w:type="dxa" w:w="1337"/>
          </w:tcPr>
          <w:p>
            <w:r>
              <w:t>29.83%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6.89%</w:t>
            </w:r>
          </w:p>
        </w:tc>
        <w:tc>
          <w:tcPr>
            <w:tcW w:type="dxa" w:w="1337"/>
          </w:tcPr>
          <w:p>
            <w:r>
              <w:t>7.44%</w:t>
            </w:r>
          </w:p>
        </w:tc>
        <w:tc>
          <w:tcPr>
            <w:tcW w:type="dxa" w:w="1337"/>
          </w:tcPr>
          <w:p>
            <w:r>
              <w:t>14.16%</w:t>
            </w:r>
          </w:p>
        </w:tc>
        <w:tc>
          <w:tcPr>
            <w:tcW w:type="dxa" w:w="1337"/>
          </w:tcPr>
          <w:p>
            <w:r>
              <w:t>30.95%</w:t>
            </w:r>
          </w:p>
        </w:tc>
        <w:tc>
          <w:tcPr>
            <w:tcW w:type="dxa" w:w="1337"/>
          </w:tcPr>
          <w:p>
            <w:r>
              <w:t>28.09%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6.79%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15.07%</w:t>
            </w:r>
          </w:p>
        </w:tc>
        <w:tc>
          <w:tcPr>
            <w:tcW w:type="dxa" w:w="1337"/>
          </w:tcPr>
          <w:p>
            <w:r>
              <w:t>29.02%</w:t>
            </w:r>
          </w:p>
        </w:tc>
        <w:tc>
          <w:tcPr>
            <w:tcW w:type="dxa" w:w="1337"/>
          </w:tcPr>
          <w:p>
            <w:r>
              <w:t>26.58%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6.60%</w:t>
            </w:r>
          </w:p>
        </w:tc>
        <w:tc>
          <w:tcPr>
            <w:tcW w:type="dxa" w:w="1337"/>
          </w:tcPr>
          <w:p>
            <w:r>
              <w:t>9.32%</w:t>
            </w:r>
          </w:p>
        </w:tc>
        <w:tc>
          <w:tcPr>
            <w:tcW w:type="dxa" w:w="1337"/>
          </w:tcPr>
          <w:p>
            <w:r>
              <w:t>15.73%</w:t>
            </w:r>
          </w:p>
        </w:tc>
        <w:tc>
          <w:tcPr>
            <w:tcW w:type="dxa" w:w="1337"/>
          </w:tcPr>
          <w:p>
            <w:r>
              <w:t>27.26%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0.18%</w:t>
            </w:r>
          </w:p>
        </w:tc>
        <w:tc>
          <w:tcPr>
            <w:tcW w:type="dxa" w:w="1337"/>
          </w:tcPr>
          <w:p>
            <w:r>
              <w:t>6.49%</w:t>
            </w:r>
          </w:p>
        </w:tc>
        <w:tc>
          <w:tcPr>
            <w:tcW w:type="dxa" w:w="1337"/>
          </w:tcPr>
          <w:p>
            <w:r>
              <w:t>8.94%</w:t>
            </w:r>
          </w:p>
        </w:tc>
        <w:tc>
          <w:tcPr>
            <w:tcW w:type="dxa" w:w="1337"/>
          </w:tcPr>
          <w:p>
            <w:r>
              <w:t>15.85%</w:t>
            </w:r>
          </w:p>
        </w:tc>
        <w:tc>
          <w:tcPr>
            <w:tcW w:type="dxa" w:w="1337"/>
          </w:tcPr>
          <w:p>
            <w:r>
              <w:t>25.64%</w:t>
            </w:r>
          </w:p>
        </w:tc>
        <w:tc>
          <w:tcPr>
            <w:tcW w:type="dxa" w:w="1337"/>
          </w:tcPr>
          <w:p>
            <w:r>
              <w:t>24.12%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0.16%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8.24%</w:t>
            </w:r>
          </w:p>
        </w:tc>
        <w:tc>
          <w:tcPr>
            <w:tcW w:type="dxa" w:w="1337"/>
          </w:tcPr>
          <w:p>
            <w:r>
              <w:t>15.27%</w:t>
            </w:r>
          </w:p>
        </w:tc>
        <w:tc>
          <w:tcPr>
            <w:tcW w:type="dxa" w:w="1337"/>
          </w:tcPr>
          <w:p>
            <w:r>
              <w:t>24.14%</w:t>
            </w:r>
          </w:p>
        </w:tc>
        <w:tc>
          <w:tcPr>
            <w:tcW w:type="dxa" w:w="1337"/>
          </w:tcPr>
          <w:p>
            <w:r>
              <w:t>23.13%</w:t>
            </w:r>
          </w:p>
        </w:tc>
      </w:tr>
    </w:tbl>
    <w:p>
      <w:r>
        <w:rPr>
          <w:b/>
        </w:rPr>
        <w:t>B2 x Neo-Hookean:</w:t>
      </w:r>
    </w:p>
    <w:p>
      <w:r>
        <w:rPr>
          <w:b w:val="0"/>
        </w:rPr>
        <w:t>Table 18-R10u. B2 x Neo-Hookean: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51.06%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39.26%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27.04%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23.56%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8.52%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0.44%</w:t>
            </w:r>
          </w:p>
        </w:tc>
        <w:tc>
          <w:tcPr>
            <w:tcW w:type="dxa" w:w="1040"/>
          </w:tcPr>
          <w:p>
            <w:r>
              <w:t>12.71%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14.12%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11.83%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0.25%</w:t>
            </w:r>
          </w:p>
        </w:tc>
        <w:tc>
          <w:tcPr>
            <w:tcW w:type="dxa" w:w="1040"/>
          </w:tcPr>
          <w:p>
            <w:r>
              <w:t>6.17%</w:t>
            </w:r>
          </w:p>
        </w:tc>
        <w:tc>
          <w:tcPr>
            <w:tcW w:type="dxa" w:w="1040"/>
          </w:tcPr>
          <w:p>
            <w:r>
              <w:t>4.43%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6.44%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1.46%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  <w:tc>
          <w:tcPr>
            <w:tcW w:type="dxa" w:w="1040"/>
          </w:tcPr>
          <w:p>
            <w:r>
              <w:t>3.39%</w:t>
            </w:r>
          </w:p>
        </w:tc>
        <w:tc>
          <w:tcPr>
            <w:tcW w:type="dxa" w:w="1040"/>
          </w:tcPr>
          <w:p>
            <w:r>
              <w:t>2.53%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6.68%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7.14%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3.60%</w:t>
            </w:r>
          </w:p>
        </w:tc>
        <w:tc>
          <w:tcPr>
            <w:tcW w:type="dxa" w:w="1040"/>
          </w:tcPr>
          <w:p>
            <w:r>
              <w:t>2.60%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1.91%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2.41%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4.32%</w:t>
            </w:r>
          </w:p>
        </w:tc>
        <w:tc>
          <w:tcPr>
            <w:tcW w:type="dxa" w:w="1040"/>
          </w:tcPr>
          <w:p>
            <w:r>
              <w:t>1.64%</w:t>
            </w:r>
          </w:p>
        </w:tc>
        <w:tc>
          <w:tcPr>
            <w:tcW w:type="dxa" w:w="1040"/>
          </w:tcPr>
          <w:p>
            <w:r>
              <w:t>2.69%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8.18%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1.41%</w:t>
            </w:r>
          </w:p>
        </w:tc>
        <w:tc>
          <w:tcPr>
            <w:tcW w:type="dxa" w:w="1040"/>
          </w:tcPr>
          <w:p>
            <w:r>
              <w:t>8.40%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15.35%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15.82%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15.49%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22.02%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22.43%</w:t>
            </w:r>
          </w:p>
        </w:tc>
        <w:tc>
          <w:tcPr>
            <w:tcW w:type="dxa" w:w="1040"/>
          </w:tcPr>
          <w:p>
            <w:r>
              <w:t>1.09%</w:t>
            </w:r>
          </w:p>
        </w:tc>
        <w:tc>
          <w:tcPr>
            <w:tcW w:type="dxa" w:w="1040"/>
          </w:tcPr>
          <w:p>
            <w:r>
              <w:t>22.11%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27.88%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28.23%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27.90%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18-R10v. B2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13.86%</w:t>
            </w:r>
          </w:p>
        </w:tc>
        <w:tc>
          <w:tcPr>
            <w:tcW w:type="dxa" w:w="1337"/>
          </w:tcPr>
          <w:p>
            <w:r>
              <w:t>245.59%</w:t>
            </w:r>
          </w:p>
        </w:tc>
        <w:tc>
          <w:tcPr>
            <w:tcW w:type="dxa" w:w="1337"/>
          </w:tcPr>
          <w:p>
            <w:r>
              <w:t>12.27%</w:t>
            </w:r>
          </w:p>
        </w:tc>
        <w:tc>
          <w:tcPr>
            <w:tcW w:type="dxa" w:w="1337"/>
          </w:tcPr>
          <w:p>
            <w:r>
              <w:t>230.26%</w:t>
            </w:r>
          </w:p>
        </w:tc>
        <w:tc>
          <w:tcPr>
            <w:tcW w:type="dxa" w:w="1337"/>
          </w:tcPr>
          <w:p>
            <w:r>
              <w:t>10.39%</w:t>
            </w:r>
          </w:p>
        </w:tc>
        <w:tc>
          <w:tcPr>
            <w:tcW w:type="dxa" w:w="1337"/>
          </w:tcPr>
          <w:p>
            <w:r>
              <w:t>234.38%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9.92%</w:t>
            </w:r>
          </w:p>
        </w:tc>
        <w:tc>
          <w:tcPr>
            <w:tcW w:type="dxa" w:w="1337"/>
          </w:tcPr>
          <w:p>
            <w:r>
              <w:t>141.72%</w:t>
            </w:r>
          </w:p>
        </w:tc>
        <w:tc>
          <w:tcPr>
            <w:tcW w:type="dxa" w:w="1337"/>
          </w:tcPr>
          <w:p>
            <w:r>
              <w:t>10.58%</w:t>
            </w:r>
          </w:p>
        </w:tc>
        <w:tc>
          <w:tcPr>
            <w:tcW w:type="dxa" w:w="1337"/>
          </w:tcPr>
          <w:p>
            <w:r>
              <w:t>121.41%</w:t>
            </w:r>
          </w:p>
        </w:tc>
        <w:tc>
          <w:tcPr>
            <w:tcW w:type="dxa" w:w="1337"/>
          </w:tcPr>
          <w:p>
            <w:r>
              <w:t>9.42%</w:t>
            </w:r>
          </w:p>
        </w:tc>
        <w:tc>
          <w:tcPr>
            <w:tcW w:type="dxa" w:w="1337"/>
          </w:tcPr>
          <w:p>
            <w:r>
              <w:t>123.02%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6.73%</w:t>
            </w:r>
          </w:p>
        </w:tc>
        <w:tc>
          <w:tcPr>
            <w:tcW w:type="dxa" w:w="1337"/>
          </w:tcPr>
          <w:p>
            <w:r>
              <w:t>101.86%</w:t>
            </w:r>
          </w:p>
        </w:tc>
        <w:tc>
          <w:tcPr>
            <w:tcW w:type="dxa" w:w="1337"/>
          </w:tcPr>
          <w:p>
            <w:r>
              <w:t>6.61%</w:t>
            </w:r>
          </w:p>
        </w:tc>
        <w:tc>
          <w:tcPr>
            <w:tcW w:type="dxa" w:w="1337"/>
          </w:tcPr>
          <w:p>
            <w:r>
              <w:t>101.71%</w:t>
            </w:r>
          </w:p>
        </w:tc>
        <w:tc>
          <w:tcPr>
            <w:tcW w:type="dxa" w:w="1337"/>
          </w:tcPr>
          <w:p>
            <w:r>
              <w:t>5.13%</w:t>
            </w:r>
          </w:p>
        </w:tc>
        <w:tc>
          <w:tcPr>
            <w:tcW w:type="dxa" w:w="1337"/>
          </w:tcPr>
          <w:p>
            <w:r>
              <w:t>106.19%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4.42%</w:t>
            </w:r>
          </w:p>
        </w:tc>
        <w:tc>
          <w:tcPr>
            <w:tcW w:type="dxa" w:w="1337"/>
          </w:tcPr>
          <w:p>
            <w:r>
              <w:t>84.01%</w:t>
            </w:r>
          </w:p>
        </w:tc>
        <w:tc>
          <w:tcPr>
            <w:tcW w:type="dxa" w:w="1337"/>
          </w:tcPr>
          <w:p>
            <w:r>
              <w:t>3.02%</w:t>
            </w:r>
          </w:p>
        </w:tc>
        <w:tc>
          <w:tcPr>
            <w:tcW w:type="dxa" w:w="1337"/>
          </w:tcPr>
          <w:p>
            <w:r>
              <w:t>85.95%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89.38%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1.32%</w:t>
            </w:r>
          </w:p>
        </w:tc>
        <w:tc>
          <w:tcPr>
            <w:tcW w:type="dxa" w:w="1337"/>
          </w:tcPr>
          <w:p>
            <w:r>
              <w:t>94.24%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  <w:tc>
          <w:tcPr>
            <w:tcW w:type="dxa" w:w="1337"/>
          </w:tcPr>
          <w:p>
            <w:r>
              <w:t>89.65%</w:t>
            </w:r>
          </w:p>
        </w:tc>
        <w:tc>
          <w:tcPr>
            <w:tcW w:type="dxa" w:w="1337"/>
          </w:tcPr>
          <w:p>
            <w:r>
              <w:t>2.67%</w:t>
            </w:r>
          </w:p>
        </w:tc>
        <w:tc>
          <w:tcPr>
            <w:tcW w:type="dxa" w:w="1337"/>
          </w:tcPr>
          <w:p>
            <w:r>
              <w:t>91.49%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0.98%</w:t>
            </w:r>
          </w:p>
        </w:tc>
        <w:tc>
          <w:tcPr>
            <w:tcW w:type="dxa" w:w="1337"/>
          </w:tcPr>
          <w:p>
            <w:r>
              <w:t>67.61%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62.71%</w:t>
            </w:r>
          </w:p>
        </w:tc>
        <w:tc>
          <w:tcPr>
            <w:tcW w:type="dxa" w:w="1337"/>
          </w:tcPr>
          <w:p>
            <w:r>
              <w:t>2.28%</w:t>
            </w:r>
          </w:p>
        </w:tc>
        <w:tc>
          <w:tcPr>
            <w:tcW w:type="dxa" w:w="1337"/>
          </w:tcPr>
          <w:p>
            <w:r>
              <w:t>63.39%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41.20%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1.84%</w:t>
            </w:r>
          </w:p>
        </w:tc>
        <w:tc>
          <w:tcPr>
            <w:tcW w:type="dxa" w:w="1337"/>
          </w:tcPr>
          <w:p>
            <w:r>
              <w:t>39.69%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5.65%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2.84%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3.04%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10.35%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11.97%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11.62%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0.17%</w:t>
            </w:r>
          </w:p>
        </w:tc>
        <w:tc>
          <w:tcPr>
            <w:tcW w:type="dxa" w:w="1337"/>
          </w:tcPr>
          <w:p>
            <w:r>
              <w:t>18.80%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19.77%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19.60%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4.24%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5.64%</w:t>
            </w:r>
          </w:p>
        </w:tc>
        <w:tc>
          <w:tcPr>
            <w:tcW w:type="dxa" w:w="1337"/>
          </w:tcPr>
          <w:p>
            <w:r>
              <w:t>0.82%</w:t>
            </w:r>
          </w:p>
        </w:tc>
        <w:tc>
          <w:tcPr>
            <w:tcW w:type="dxa" w:w="1337"/>
          </w:tcPr>
          <w:p>
            <w:r>
              <w:t>3.10%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4.46%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5.52%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3.81%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6.92%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8.55%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7.16%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7.88%</w:t>
            </w:r>
          </w:p>
        </w:tc>
        <w:tc>
          <w:tcPr>
            <w:tcW w:type="dxa" w:w="1337"/>
          </w:tcPr>
          <w:p>
            <w:r>
              <w:t>0.12%</w:t>
            </w:r>
          </w:p>
        </w:tc>
        <w:tc>
          <w:tcPr>
            <w:tcW w:type="dxa" w:w="1337"/>
          </w:tcPr>
          <w:p>
            <w:r>
              <w:t>9.64%</w:t>
            </w:r>
          </w:p>
        </w:tc>
        <w:tc>
          <w:tcPr>
            <w:tcW w:type="dxa" w:w="1337"/>
          </w:tcPr>
          <w:p>
            <w:r>
              <w:t>0.49%</w:t>
            </w:r>
          </w:p>
        </w:tc>
        <w:tc>
          <w:tcPr>
            <w:tcW w:type="dxa" w:w="1337"/>
          </w:tcPr>
          <w:p>
            <w:r>
              <w:t>8.66%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4.18%</w:t>
            </w:r>
          </w:p>
        </w:tc>
        <w:tc>
          <w:tcPr>
            <w:tcW w:type="dxa" w:w="1337"/>
          </w:tcPr>
          <w:p>
            <w:r>
              <w:t>0.14%</w:t>
            </w:r>
          </w:p>
        </w:tc>
        <w:tc>
          <w:tcPr>
            <w:tcW w:type="dxa" w:w="1337"/>
          </w:tcPr>
          <w:p>
            <w:r>
              <w:t>5.94%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3.22%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2.53%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</w:tr>
    </w:tbl>
    <w:p>
      <w:r>
        <w:rPr>
          <w:b/>
        </w:rPr>
        <w:t>B2 x Mooney-Rivlin:</w:t>
      </w:r>
    </w:p>
    <w:p>
      <w:r>
        <w:rPr>
          <w:b w:val="0"/>
        </w:rPr>
        <w:t>Table 18-R10w. B2 x Mooney-Rivlin: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14.17%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35.80%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53.09%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28.06%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1.01%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10.46%</w:t>
            </w:r>
          </w:p>
        </w:tc>
        <w:tc>
          <w:tcPr>
            <w:tcW w:type="dxa" w:w="1040"/>
          </w:tcPr>
          <w:p>
            <w:r>
              <w:t>6.04%</w:t>
            </w:r>
          </w:p>
        </w:tc>
        <w:tc>
          <w:tcPr>
            <w:tcW w:type="dxa" w:w="1040"/>
          </w:tcPr>
          <w:p>
            <w:r>
              <w:t>13.65%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4.21%</w:t>
            </w:r>
          </w:p>
        </w:tc>
        <w:tc>
          <w:tcPr>
            <w:tcW w:type="dxa" w:w="1040"/>
          </w:tcPr>
          <w:p>
            <w:r>
              <w:t>4.44%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3.84%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3.08%</w:t>
            </w:r>
          </w:p>
        </w:tc>
        <w:tc>
          <w:tcPr>
            <w:tcW w:type="dxa" w:w="1040"/>
          </w:tcPr>
          <w:p>
            <w:r>
              <w:t>3.22%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3.46%</w:t>
            </w:r>
          </w:p>
        </w:tc>
        <w:tc>
          <w:tcPr>
            <w:tcW w:type="dxa" w:w="1040"/>
          </w:tcPr>
          <w:p>
            <w:r>
              <w:t>4.89%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3.99%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5.65%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7.21%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10.94%</w:t>
            </w:r>
          </w:p>
        </w:tc>
        <w:tc>
          <w:tcPr>
            <w:tcW w:type="dxa" w:w="1040"/>
          </w:tcPr>
          <w:p>
            <w:r>
              <w:t>1.94%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12.96%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11.60%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12.89%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19.90%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17.77%</w:t>
            </w:r>
          </w:p>
        </w:tc>
        <w:tc>
          <w:tcPr>
            <w:tcW w:type="dxa" w:w="1040"/>
          </w:tcPr>
          <w:p>
            <w:r>
              <w:t>1.47%</w:t>
            </w:r>
          </w:p>
        </w:tc>
        <w:tc>
          <w:tcPr>
            <w:tcW w:type="dxa" w:w="1040"/>
          </w:tcPr>
          <w:p>
            <w:r>
              <w:t>19.45%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26.04%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23.51%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25.36%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31.36%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28.63%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30.54%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18-R10x. B2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13.18%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10.82%</w:t>
            </w:r>
          </w:p>
        </w:tc>
        <w:tc>
          <w:tcPr>
            <w:tcW w:type="dxa" w:w="1337"/>
          </w:tcPr>
          <w:p>
            <w:r>
              <w:t>6.70%</w:t>
            </w:r>
          </w:p>
        </w:tc>
        <w:tc>
          <w:tcPr>
            <w:tcW w:type="dxa" w:w="1337"/>
          </w:tcPr>
          <w:p>
            <w:r>
              <w:t>8.80%</w:t>
            </w:r>
          </w:p>
        </w:tc>
        <w:tc>
          <w:tcPr>
            <w:tcW w:type="dxa" w:w="1337"/>
          </w:tcPr>
          <w:p>
            <w:r>
              <w:t>4.47%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9.47%</w:t>
            </w:r>
          </w:p>
        </w:tc>
        <w:tc>
          <w:tcPr>
            <w:tcW w:type="dxa" w:w="1337"/>
          </w:tcPr>
          <w:p>
            <w:r>
              <w:t>4.72%</w:t>
            </w:r>
          </w:p>
        </w:tc>
        <w:tc>
          <w:tcPr>
            <w:tcW w:type="dxa" w:w="1337"/>
          </w:tcPr>
          <w:p>
            <w:r>
              <w:t>9.58%</w:t>
            </w:r>
          </w:p>
        </w:tc>
        <w:tc>
          <w:tcPr>
            <w:tcW w:type="dxa" w:w="1337"/>
          </w:tcPr>
          <w:p>
            <w:r>
              <w:t>5.49%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2.93%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1.85%</w:t>
            </w:r>
          </w:p>
        </w:tc>
        <w:tc>
          <w:tcPr>
            <w:tcW w:type="dxa" w:w="1337"/>
          </w:tcPr>
          <w:p>
            <w:r>
              <w:t>5.74%</w:t>
            </w:r>
          </w:p>
        </w:tc>
        <w:tc>
          <w:tcPr>
            <w:tcW w:type="dxa" w:w="1337"/>
          </w:tcPr>
          <w:p>
            <w:r>
              <w:t>4.32%</w:t>
            </w:r>
          </w:p>
        </w:tc>
        <w:tc>
          <w:tcPr>
            <w:tcW w:type="dxa" w:w="1337"/>
          </w:tcPr>
          <w:p>
            <w:r>
              <w:t>4.16%</w:t>
            </w:r>
          </w:p>
        </w:tc>
        <w:tc>
          <w:tcPr>
            <w:tcW w:type="dxa" w:w="1337"/>
          </w:tcPr>
          <w:p>
            <w:r>
              <w:t>3.05%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0.47%</w:t>
            </w:r>
          </w:p>
        </w:tc>
        <w:tc>
          <w:tcPr>
            <w:tcW w:type="dxa" w:w="1337"/>
          </w:tcPr>
          <w:p>
            <w:r>
              <w:t>2.19%</w:t>
            </w:r>
          </w:p>
        </w:tc>
        <w:tc>
          <w:tcPr>
            <w:tcW w:type="dxa" w:w="1337"/>
          </w:tcPr>
          <w:p>
            <w:r>
              <w:t>5.14%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3.80%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1.27%</w:t>
            </w:r>
          </w:p>
        </w:tc>
        <w:tc>
          <w:tcPr>
            <w:tcW w:type="dxa" w:w="1337"/>
          </w:tcPr>
          <w:p>
            <w:r>
              <w:t>3.12%</w:t>
            </w:r>
          </w:p>
        </w:tc>
        <w:tc>
          <w:tcPr>
            <w:tcW w:type="dxa" w:w="1337"/>
          </w:tcPr>
          <w:p>
            <w:r>
              <w:t>0.86%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3.07%</w:t>
            </w:r>
          </w:p>
        </w:tc>
        <w:tc>
          <w:tcPr>
            <w:tcW w:type="dxa" w:w="1337"/>
          </w:tcPr>
          <w:p>
            <w:r>
              <w:t>1.67%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2.41%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1.17%</w:t>
            </w:r>
          </w:p>
        </w:tc>
        <w:tc>
          <w:tcPr>
            <w:tcW w:type="dxa" w:w="1337"/>
          </w:tcPr>
          <w:p>
            <w:r>
              <w:t>2.09%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1.34%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1.59%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1.24%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0.67%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0.97%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1.03%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1.06%</w:t>
            </w:r>
          </w:p>
        </w:tc>
        <w:tc>
          <w:tcPr>
            <w:tcW w:type="dxa" w:w="1337"/>
          </w:tcPr>
          <w:p>
            <w:r>
              <w:t>0.54%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  <w:tc>
          <w:tcPr>
            <w:tcW w:type="dxa" w:w="1337"/>
          </w:tcPr>
          <w:p>
            <w:r>
              <w:t>0.42%</w:t>
            </w:r>
          </w:p>
        </w:tc>
        <w:tc>
          <w:tcPr>
            <w:tcW w:type="dxa" w:w="1337"/>
          </w:tcPr>
          <w:p>
            <w:r>
              <w:t>0.56%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1.11%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</w:tr>
    </w:tbl>
    <w:p>
      <w:r>
        <w:rPr>
          <w:b/>
        </w:rPr>
        <w:t>B2 x Arruda-Boyce:</w:t>
      </w:r>
    </w:p>
    <w:p>
      <w:r>
        <w:rPr>
          <w:b w:val="0"/>
        </w:rPr>
        <w:t>Table 18-R10y. B2 x Arruda-Boyce: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13.05%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44.27%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24.02%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3.59%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20.67%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21.60%</w:t>
            </w:r>
          </w:p>
        </w:tc>
        <w:tc>
          <w:tcPr>
            <w:tcW w:type="dxa" w:w="1040"/>
          </w:tcPr>
          <w:p>
            <w:r>
              <w:t>5.97%</w:t>
            </w:r>
          </w:p>
        </w:tc>
        <w:tc>
          <w:tcPr>
            <w:tcW w:type="dxa" w:w="1040"/>
          </w:tcPr>
          <w:p>
            <w:r>
              <w:t>26.40%</w:t>
            </w:r>
          </w:p>
        </w:tc>
        <w:tc>
          <w:tcPr>
            <w:tcW w:type="dxa" w:w="1040"/>
          </w:tcPr>
          <w:p>
            <w:r>
              <w:t>5.06%</w:t>
            </w:r>
          </w:p>
        </w:tc>
        <w:tc>
          <w:tcPr>
            <w:tcW w:type="dxa" w:w="1040"/>
          </w:tcPr>
          <w:p>
            <w:r>
              <w:t>19.67%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7.13%</w:t>
            </w:r>
          </w:p>
        </w:tc>
        <w:tc>
          <w:tcPr>
            <w:tcW w:type="dxa" w:w="1040"/>
          </w:tcPr>
          <w:p>
            <w:r>
              <w:t>4.39%</w:t>
            </w:r>
          </w:p>
        </w:tc>
        <w:tc>
          <w:tcPr>
            <w:tcW w:type="dxa" w:w="1040"/>
          </w:tcPr>
          <w:p>
            <w:r>
              <w:t>10.13%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4.13%</w:t>
            </w:r>
          </w:p>
        </w:tc>
        <w:tc>
          <w:tcPr>
            <w:tcW w:type="dxa" w:w="1040"/>
          </w:tcPr>
          <w:p>
            <w:r>
              <w:t>3.18%</w:t>
            </w:r>
          </w:p>
        </w:tc>
        <w:tc>
          <w:tcPr>
            <w:tcW w:type="dxa" w:w="1040"/>
          </w:tcPr>
          <w:p>
            <w:r>
              <w:t>7.65%</w:t>
            </w:r>
          </w:p>
        </w:tc>
        <w:tc>
          <w:tcPr>
            <w:tcW w:type="dxa" w:w="1040"/>
          </w:tcPr>
          <w:p>
            <w:r>
              <w:t>3.16%</w:t>
            </w:r>
          </w:p>
        </w:tc>
        <w:tc>
          <w:tcPr>
            <w:tcW w:type="dxa" w:w="1040"/>
          </w:tcPr>
          <w:p>
            <w:r>
              <w:t>5.13%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5.34%</w:t>
            </w:r>
          </w:p>
        </w:tc>
        <w:tc>
          <w:tcPr>
            <w:tcW w:type="dxa" w:w="1040"/>
          </w:tcPr>
          <w:p>
            <w:r>
              <w:t>2.91%</w:t>
            </w:r>
          </w:p>
        </w:tc>
        <w:tc>
          <w:tcPr>
            <w:tcW w:type="dxa" w:w="1040"/>
          </w:tcPr>
          <w:p>
            <w:r>
              <w:t>10.16%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5.99%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4.86%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9.97%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9.91%</w:t>
            </w:r>
          </w:p>
        </w:tc>
        <w:tc>
          <w:tcPr>
            <w:tcW w:type="dxa" w:w="1040"/>
          </w:tcPr>
          <w:p>
            <w:r>
              <w:t>2.19%</w:t>
            </w:r>
          </w:p>
        </w:tc>
        <w:tc>
          <w:tcPr>
            <w:tcW w:type="dxa" w:w="1040"/>
          </w:tcPr>
          <w:p>
            <w:r>
              <w:t>11.04%</w:t>
            </w:r>
          </w:p>
        </w:tc>
        <w:tc>
          <w:tcPr>
            <w:tcW w:type="dxa" w:w="1040"/>
          </w:tcPr>
          <w:p>
            <w:r>
              <w:t>1.57%</w:t>
            </w:r>
          </w:p>
        </w:tc>
        <w:tc>
          <w:tcPr>
            <w:tcW w:type="dxa" w:w="1040"/>
          </w:tcPr>
          <w:p>
            <w:r>
              <w:t>10.32%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18.75%</w:t>
            </w:r>
          </w:p>
        </w:tc>
        <w:tc>
          <w:tcPr>
            <w:tcW w:type="dxa" w:w="1040"/>
          </w:tcPr>
          <w:p>
            <w:r>
              <w:t>2.02%</w:t>
            </w:r>
          </w:p>
        </w:tc>
        <w:tc>
          <w:tcPr>
            <w:tcW w:type="dxa" w:w="1040"/>
          </w:tcPr>
          <w:p>
            <w:r>
              <w:t>18.17%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18.51%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25.76%</w:t>
            </w:r>
          </w:p>
        </w:tc>
        <w:tc>
          <w:tcPr>
            <w:tcW w:type="dxa" w:w="1040"/>
          </w:tcPr>
          <w:p>
            <w:r>
              <w:t>1.23%</w:t>
            </w:r>
          </w:p>
        </w:tc>
        <w:tc>
          <w:tcPr>
            <w:tcW w:type="dxa" w:w="1040"/>
          </w:tcPr>
          <w:p>
            <w:r>
              <w:t>24.81%</w:t>
            </w:r>
          </w:p>
        </w:tc>
        <w:tc>
          <w:tcPr>
            <w:tcW w:type="dxa" w:w="1040"/>
          </w:tcPr>
          <w:p>
            <w:r>
              <w:t>1.38%</w:t>
            </w:r>
          </w:p>
        </w:tc>
        <w:tc>
          <w:tcPr>
            <w:tcW w:type="dxa" w:w="1040"/>
          </w:tcPr>
          <w:p>
            <w:r>
              <w:t>25.09%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32.71%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31.59%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31.67%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38.84%</w:t>
            </w:r>
          </w:p>
        </w:tc>
        <w:tc>
          <w:tcPr>
            <w:tcW w:type="dxa" w:w="1040"/>
          </w:tcPr>
          <w:p>
            <w:r>
              <w:t>1.48%</w:t>
            </w:r>
          </w:p>
        </w:tc>
        <w:tc>
          <w:tcPr>
            <w:tcW w:type="dxa" w:w="1040"/>
          </w:tcPr>
          <w:p>
            <w:r>
              <w:t>37.54%</w:t>
            </w:r>
          </w:p>
        </w:tc>
        <w:tc>
          <w:tcPr>
            <w:tcW w:type="dxa" w:w="1040"/>
          </w:tcPr>
          <w:p>
            <w:r>
              <w:t>0.94%</w:t>
            </w:r>
          </w:p>
        </w:tc>
        <w:tc>
          <w:tcPr>
            <w:tcW w:type="dxa" w:w="1040"/>
          </w:tcPr>
          <w:p>
            <w:r>
              <w:t>37.51%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18-R10z. B2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54.10%</w:t>
            </w:r>
          </w:p>
        </w:tc>
        <w:tc>
          <w:tcPr>
            <w:tcW w:type="dxa" w:w="1337"/>
          </w:tcPr>
          <w:p>
            <w:r>
              <w:t>16.22%</w:t>
            </w:r>
          </w:p>
        </w:tc>
        <w:tc>
          <w:tcPr>
            <w:tcW w:type="dxa" w:w="1337"/>
          </w:tcPr>
          <w:p>
            <w:r>
              <w:t>191.35%</w:t>
            </w:r>
          </w:p>
        </w:tc>
        <w:tc>
          <w:tcPr>
            <w:tcW w:type="dxa" w:w="1337"/>
          </w:tcPr>
          <w:p>
            <w:r>
              <w:t>14.73%</w:t>
            </w:r>
          </w:p>
        </w:tc>
        <w:tc>
          <w:tcPr>
            <w:tcW w:type="dxa" w:w="1337"/>
          </w:tcPr>
          <w:p>
            <w:r>
              <w:t>199.45%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11.25%</w:t>
            </w:r>
          </w:p>
        </w:tc>
        <w:tc>
          <w:tcPr>
            <w:tcW w:type="dxa" w:w="1337"/>
          </w:tcPr>
          <w:p>
            <w:r>
              <w:t>44.05%</w:t>
            </w:r>
          </w:p>
        </w:tc>
        <w:tc>
          <w:tcPr>
            <w:tcW w:type="dxa" w:w="1337"/>
          </w:tcPr>
          <w:p>
            <w:r>
              <w:t>13.30%</w:t>
            </w:r>
          </w:p>
        </w:tc>
        <w:tc>
          <w:tcPr>
            <w:tcW w:type="dxa" w:w="1337"/>
          </w:tcPr>
          <w:p>
            <w:r>
              <w:t>99.72%</w:t>
            </w:r>
          </w:p>
        </w:tc>
        <w:tc>
          <w:tcPr>
            <w:tcW w:type="dxa" w:w="1337"/>
          </w:tcPr>
          <w:p>
            <w:r>
              <w:t>12.50%</w:t>
            </w:r>
          </w:p>
        </w:tc>
        <w:tc>
          <w:tcPr>
            <w:tcW w:type="dxa" w:w="1337"/>
          </w:tcPr>
          <w:p>
            <w:r>
              <w:t>106.31%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7.71%</w:t>
            </w:r>
          </w:p>
        </w:tc>
        <w:tc>
          <w:tcPr>
            <w:tcW w:type="dxa" w:w="1337"/>
          </w:tcPr>
          <w:p>
            <w:r>
              <w:t>28.94%</w:t>
            </w:r>
          </w:p>
        </w:tc>
        <w:tc>
          <w:tcPr>
            <w:tcW w:type="dxa" w:w="1337"/>
          </w:tcPr>
          <w:p>
            <w:r>
              <w:t>9.02%</w:t>
            </w:r>
          </w:p>
        </w:tc>
        <w:tc>
          <w:tcPr>
            <w:tcW w:type="dxa" w:w="1337"/>
          </w:tcPr>
          <w:p>
            <w:r>
              <w:t>26.39%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28.03%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5.21%</w:t>
            </w:r>
          </w:p>
        </w:tc>
        <w:tc>
          <w:tcPr>
            <w:tcW w:type="dxa" w:w="1337"/>
          </w:tcPr>
          <w:p>
            <w:r>
              <w:t>48.94%</w:t>
            </w:r>
          </w:p>
        </w:tc>
        <w:tc>
          <w:tcPr>
            <w:tcW w:type="dxa" w:w="1337"/>
          </w:tcPr>
          <w:p>
            <w:r>
              <w:t>5.46%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40.19%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1.47%</w:t>
            </w:r>
          </w:p>
        </w:tc>
        <w:tc>
          <w:tcPr>
            <w:tcW w:type="dxa" w:w="1337"/>
          </w:tcPr>
          <w:p>
            <w:r>
              <w:t>16.61%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10.04%</w:t>
            </w:r>
          </w:p>
        </w:tc>
        <w:tc>
          <w:tcPr>
            <w:tcW w:type="dxa" w:w="1337"/>
          </w:tcPr>
          <w:p>
            <w:r>
              <w:t>1.54%</w:t>
            </w:r>
          </w:p>
        </w:tc>
        <w:tc>
          <w:tcPr>
            <w:tcW w:type="dxa" w:w="1337"/>
          </w:tcPr>
          <w:p>
            <w:r>
              <w:t>10.84%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8.14%</w:t>
            </w:r>
          </w:p>
        </w:tc>
        <w:tc>
          <w:tcPr>
            <w:tcW w:type="dxa" w:w="1337"/>
          </w:tcPr>
          <w:p>
            <w:r>
              <w:t>1.39%</w:t>
            </w:r>
          </w:p>
        </w:tc>
        <w:tc>
          <w:tcPr>
            <w:tcW w:type="dxa" w:w="1337"/>
          </w:tcPr>
          <w:p>
            <w:r>
              <w:t>8.65%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0.89%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5.31%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5.69%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0.40%</w:t>
            </w:r>
          </w:p>
        </w:tc>
        <w:tc>
          <w:tcPr>
            <w:tcW w:type="dxa" w:w="1337"/>
          </w:tcPr>
          <w:p>
            <w:r>
              <w:t>2.40%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1.01%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1.73%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4.01%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0.78%</w:t>
            </w:r>
          </w:p>
        </w:tc>
        <w:tc>
          <w:tcPr>
            <w:tcW w:type="dxa" w:w="1337"/>
          </w:tcPr>
          <w:p>
            <w:r>
              <w:t>3.46%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0.79%</w:t>
            </w:r>
          </w:p>
        </w:tc>
        <w:tc>
          <w:tcPr>
            <w:tcW w:type="dxa" w:w="1337"/>
          </w:tcPr>
          <w:p>
            <w:r>
              <w:t>0.32%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0.13%</w:t>
            </w:r>
          </w:p>
        </w:tc>
        <w:tc>
          <w:tcPr>
            <w:tcW w:type="dxa" w:w="1337"/>
          </w:tcPr>
          <w:p>
            <w:r>
              <w:t>1.69%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1.50%</w:t>
            </w:r>
          </w:p>
        </w:tc>
        <w:tc>
          <w:tcPr>
            <w:tcW w:type="dxa" w:w="1337"/>
          </w:tcPr>
          <w:p>
            <w:r>
              <w:t>0.51%</w:t>
            </w:r>
          </w:p>
        </w:tc>
        <w:tc>
          <w:tcPr>
            <w:tcW w:type="dxa" w:w="1337"/>
          </w:tcPr>
          <w:p>
            <w:r>
              <w:t>1.23%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11.09%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10.73%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  <w:tc>
          <w:tcPr>
            <w:tcW w:type="dxa" w:w="1337"/>
          </w:tcPr>
          <w:p>
            <w:r>
              <w:t>10.43%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19.02%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18.61%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18.39%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25.04%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24.70%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31.64%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31.38%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31.05%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37.25%</w:t>
            </w:r>
          </w:p>
        </w:tc>
        <w:tc>
          <w:tcPr>
            <w:tcW w:type="dxa" w:w="1337"/>
          </w:tcPr>
          <w:p>
            <w:r>
              <w:t>0.23%</w:t>
            </w:r>
          </w:p>
        </w:tc>
        <w:tc>
          <w:tcPr>
            <w:tcW w:type="dxa" w:w="1337"/>
          </w:tcPr>
          <w:p>
            <w:r>
              <w:t>36.86%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36.60%</w:t>
            </w:r>
          </w:p>
        </w:tc>
      </w:tr>
    </w:tbl>
    <w:p>
      <w:r>
        <w:rPr>
          <w:b w:val="0"/>
        </w:rPr>
        <w:t>Two findings worth stating plainly. First, the true max is markedly noisier and slower-converging than the region average for BOTH methods and every case -- B1xNeo-Hookean's own FEM region average falls to 0.30% by N=49 (displacement L2 is already down to 0.05% there), while its FEM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 Second, the operator's own region-averaged stress error is consistently worse than its displacement L2 error at matched resolution (e.g. B1xMooney-Rivlin at N=13: L2 7.39%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sweep, never settling anywhere close to FEM's own sub-1% region average at the same resolutions -- confirming that displacement accuracy alone should not be treated as a stand-in for stress accuracy.</w:t>
      </w:r>
    </w:p>
    <w:p>
      <w:r>
        <w:rPr>
          <w:b/>
          <w:sz w:val="28"/>
        </w:rPr>
        <w:t>Point 2 -- training-cost summary (resolutions, samples, epochs, wall-clock, cost)</w:t>
      </w:r>
    </w:p>
    <w:p>
      <w:r>
        <w:rPr>
          <w:i/>
          <w:sz w:val="20"/>
        </w:rPr>
        <w:t>“We should add a table showing training resolutions, number of samples, epochs/steps, total wall-clock, training cost per sample/step and peak memory... I think we should not waste time on the fine resolution training here but only for a complex geometry problem where resolution might matter.” — Timon, 2026-09-18</w:t>
      </w:r>
    </w:p>
    <w:p>
      <w:r>
        <w:t>Round-12 point 2 (training-cost summary): the advisor separately asked for a table of every training run's own resolutions, sample counts, epochs, wall-clock, and cost per sample, so the direct-N1401-vs-multi-resolution comparison above is legible in its own training-cost terms, not only through the retrained-checkpoint accuracy comparison in Table 18-R10i below. Table 18-R10n reports exactly that for all seven completed training runs (six multi-resolution retrains plus the direct-N1401 ablation just discussed), read directly from each run's own already-saved metrics_history.json -- nothing retrained for this table. Peak GPU memory during training was never instrumented for any of these runs; that gap is reported honestly as "not measured" rather than guessed. The advisor's own further suggestion in the same point -- a controlled re-run matching sample counts and training budget between the direct-N1401 and multi-resolution recipes, to isolate the resolution effect cleanly -- is intentionally not attempted here, per his own explicit statement that it is not worth the time for this toy problem, reserved instead for a future complex-geometry case where resolution genuinely matters. The clearest finding in the table: the direct-N1401 ablation's own cost PER SAMPLE (294.85 s) is 9-12x higher than any multi-resolution case's per-sample cost (24.36-33.31 s), since N=1401 samples are themselves far more expensive to generate -- exactly the training-budget confound the advisor's point 2 flagged, not merely a difference in total wall-clock hours.</w:t>
      </w:r>
    </w:p>
    <w:p>
      <w:r>
        <w:t>Table 18-R10n. Training-cost summary, all seven completed training runs (round-12 point 2): resolutions used, samples per resolution, total samples, final epoch/optimizer steps, wall-clock, and cost per sample/optimizer step, read from each run's own metrics_history.json. B2xArruda-Boyce has no multi-resolution retrain; its own original (fixed-selection, N=21,33) run is reported instead using the same convention, so the table is honest that this row is not a multi-resolution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p>
      <w:r>
        <w:rPr>
          <w:b/>
          <w:sz w:val="28"/>
        </w:rPr>
        <w:t>Point 3 -- use the compile+TF32 result; distinguish same-resolution from accuracy-matched</w:t>
      </w:r>
    </w:p>
    <w:p>
      <w:r>
        <w:rPr>
          <w:i/>
          <w:sz w:val="20"/>
        </w:rPr>
        <w:t>“For inference timing let's use the optimized compile+TF32 result for the paper. We then clearly distinguish the same-resolution comparison from the accuracy-matched comparison.” — Timon, 2026-09-18</w:t>
      </w:r>
    </w:p>
    <w:p>
      <w:r>
        <w:rPr>
          <w:b/>
          <w:i/>
          <w:sz w:val="22"/>
        </w:rPr>
        <w:t>Where the compile+TF32 number itself comes from (round-10 point 3, background)</w:t>
      </w:r>
    </w:p>
    <w:p>
      <w:r>
        <w:t>Point 3 asked whether inference at N=1401 admits further optimization before treating 2.29 s/sample as final. Profiling attributes about 67% of the time to batched matrix multiplications (the slice-based attention operating on roughly two million mesh nodes) and about 22% to the MLP layers, concentrated in genuine core compute at this token count rather than an obvious inefficiency. Peak GPU memory (23.16 GB) is notably higher than the GPU-native finite-element solver's own peak memory at the same N (15.6-20.5 GB), so the operator is not the more memory-frugal option here either. Table 18-R10d summarizes the optimization attempts, each correctness-checked against strict fp32 eager mode rather than assumed successful.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18-R10d. Inference-speed optimization attempts, N=1401, batch size 1, corrected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549" name="Picture 5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Round-10 Figure C. Same data as Table 18-R10d.</w:t>
      </w:r>
    </w:p>
    <w:p>
      <w:r>
        <w:t>torch.compile alone gives 1.07x, correctness-checked with a negligible output difference. Enabling TF32 matmul precision (Ampere tensor cores) gives 4.67x alone and 5.82x combined with torch.compile -- the best result found, at a real but small accuracy cost (about 3.2e-3 relative difference vs. strict fp32), checked directly rather than assumed. Re-measured separately against the retrained multi-resolution checkpoint: all four timing variants within 0.01-0.8% of the original checkpoint's own numbers (eager 2,286.9 vs. 2,292.1 ms; torch.compile 2,145.2 vs. 2,145.1 ms; eager+TF32 487.3 vs. 491.2 ms; compile+TF32 395.0 vs. 394.0 ms), again confirming checkpoint-independence.</w:t>
      </w:r>
    </w:p>
    <w:p>
      <w:r>
        <w:rPr>
          <w:b/>
          <w:i/>
          <w:sz w:val="22"/>
        </w:rPr>
        <w:t>Both break-even tables, now using the SAME compile+TF32 operator number</w:t>
      </w:r>
    </w:p>
    <w:p>
      <w:r>
        <w:t>Point 5 asked for an updated break-even analysis. Using the retrained checkpoint's own coarsest-suitable finite-element mesh at N=1401 (N=11, bound by the tangent-energy norm per the crossover above) against the operator's own real inference cost there, and the real training wall-clock for the retrained checkpoint (41,881 s, about 11.6 hours, confirmed above): in its default eager fp32 deployment mode, the operator never recovers its own training cost against this baseline -- the accuracy-matched finite-element mesh is already cheaper per sample (1,625.6 ms) than the operator's default forward pass (2,292.1 ms). With the torch.compile plus TF32 optimization above (394.0 ms/sample), the operator is instead 4.13x faster per sample and recovers its training cost after 34,005 solved problems, about 3.72 GPU-hours of inference against the 11.6 GPU-hours spent training. This is the only point in the whole round-10 investigation where the operator's default, unoptimized deployment mode does not come out ahead; its economic case against a genuinely accuracy-matched baseline rests on deploying it with the optimizations found under point 3, not on its default settings.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18-R10e. Accuracy-matched break-even: operator@N=1401 vs. finite-element solver@N=11 (its coarsest suitable mesh for the retrained checkpoint). Distinct from the matched-resolution/matched-batch-size break-even of Section 8.4: this comparison intentionally runs the two methods at different N, matched by accuracy rather than by mesh.</w:t>
      </w:r>
    </w:p>
    <w:p>
      <w:r>
        <w:t>Round-11 point 1 (keep BOTH break-even comparisons): the advisor asked to keep BOTH break-even comparisons in the report, expecting the second kind -- both methods evaluated at the SAME resolution, N=1401, rather than at each method's own accuracy-matched mesh -- to look substantially more favourable to the operator. Table 18-R10e' (below) gives exactly that: the same compile+TF32-optimized operator timing already recommended for Table 18-R10e above (round-12 point 3, 394 ms/sample, essentially case-independent) against torch-fem's own real GPU solve time at the SAME N=1401, for all six (geometry, material) cases. The two break-even tables now use the identical operator number throughout; the only thing that differs between them is which finite-element baseline the operator is compared against -- its own coarsest accuracy-matched mesh (Table 18-R10e, N=11) or the same resolution as the operator's own training target (Table 18-R10e', N=1401) -- exactly the distinction the advisor's round-12 point 3 asked this report to make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>
              <w:t>Operator @N=1401 (compile+TF32)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18-R10e'. Resolution-matched break-even: operator vs. torch-fem, both evaluated at N=1401, all six cases, using the same compile+TF32-optimized operator timing as Table 18-R10e (round-12 point 3). At this matched resolution the operator wins by 340x-526x -- markedly more favourable than the accuracy-matched comparison above (Table 18-R10e), not because the operator is run any differently there, but because torch-fem itself is far more expensive at N=1401 than at its own coarsest accuracy-matched mesh (N=11). Break-even is now known for all four non-Arruda-Boyce cases, using the real per-case training wall-clock from round-12 point 2: 311 samples (B1xNeo-Hookean), 399 (B1xMooney-Rivlin), 193 (B2xNeo-Hookean), 31 (B2xMooney-Rivlin). torch-fem's own N=1401 timings above are from a single clean re-run (2026-09-17), after fixing a real memory-cleanup bug in the sweep script found on a previous attempt (a reference to the OOM exception object, independent of the auto-deleted `except ... as e` binding, kept a failed case's own GPU tensors pinned in memory into the next case). This re-run succeeded for every non-Arruda-Boyce case in one pass with no cascade failure, confirming the fix on real GPU rather than only by code inspection.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8827"/>
            <wp:docPr id="556" name="Picture 5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8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Round-10 Figure E. Resolution-matched speedup (operator vs. torch-fem, both at N=1401), all six cases (Table 18-R10e'). Both Arruda-Boyce cases shown as FAILED rather than omitted, since torch-fem's own solve does not converge for either at this resolution.</w:t>
      </w:r>
    </w:p>
    <w:p>
      <w:r>
        <w:t>Both Arruda-Boyce cases fail at N=1401 in every run attempted so far, for a genuine and already root-caused reason distinct from the memory-cleanup issue above: torch-fem's own Newton-Raphson solve does not converge ("did not converge in increment 8 after 10 cutbacks"), and the real underlying cause, read directly from the exception's own cause chain rather than assumed, is a CUDA out-of-memory error inside torch-fem's own Hessian assembly for this material specifically -- Arruda-Boyce's own strain-energy density is more expensive to differentiate twice than Neo-Hookean's or Mooney-Rivlin's, and at N=1401's problem size that cost alone exhausts the GPU before torch-fem's own solve can complete. This is reported as a real finding about torch-fem's own scaling limit for this material at this resolution, not a defect in this project's own comparison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57.png"/><Relationship Id="rId10" Type="http://schemas.openxmlformats.org/officeDocument/2006/relationships/image" Target="media/image49.png"/><Relationship Id="rId1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