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t xml:space="preserve">DRAFT reply to Timon's round-10 email — NOT YET SENT</w:t>
      </w:r>
    </w:p>
    <w:p>
      <w:pPr>
        <w:spacing w:after="160"/>
      </w:pPr>
      <w:r>
        <w:rPr>
          <w:i/>
          <w:iCs/>
        </w:rPr>
        <w:t xml:space="preserve">Review before sending. Two things to decide first:</w:t>
      </w:r>
    </w:p>
    <w:p>
      <w:pPr>
        <w:spacing w:after="160"/>
      </w:pPr>
      <w:r>
        <w:rPr>
          <w:i/>
          <w:iCs/>
        </w:rPr>
        <w:t xml:space="preserve">1. Point 1's numbers are real and verified, but a retraining run is in progress to see if a wider training-resolution range closes some of the gap — you may want to wait for that before sending, or send now and follow up separately once it's done. The draft below sends now and says a follow-up is coming.</w:t>
      </w:r>
    </w:p>
    <w:p>
      <w:pPr>
        <w:spacing w:after="160"/>
      </w:pPr>
      <w:r>
        <w:rPr>
          <w:i/>
          <w:iCs/>
        </w:rPr>
        <w:t xml:space="preserve">2. Point 4 asks Timon a direct question (confirm the B7 design) — this IS the "ask Timon first" step from PROJECT_STATUS.md's own standing rule. Sending this email is what discharges that requirement.</w:t>
      </w:r>
    </w:p>
    <w:p>
      <w:pPr>
        <w:spacing w:after="160"/>
      </w:pPr>
      <w:r>
        <w:rPr>
          <w:i/>
          <w:iCs/>
        </w:rPr>
        <w:t xml:space="preserve">3. Points 2 and 3 were both re-measured with the corrected checkpoint and confirmed essentially identical to the original (wrong-checkpoint) measurement in both cases — both resolved, no caveats remain.</w:t>
      </w:r>
    </w:p>
    <w:p>
      <w:pPr>
        <w:pBdr>
          <w:bottom w:val="single" w:color="999999" w:sz="6" w:space="1"/>
        </w:pBdr>
        <w:spacing w:after="100"/>
      </w:pPr>
    </w:p>
    <w:p>
      <w:pPr>
        <w:spacing w:after="100"/>
      </w:pPr>
      <w:r>
        <w:rPr>
          <w:b/>
          <w:bCs/>
        </w:rPr>
        <w:t xml:space="preserve">Subject: Round-10 follow-up: accuracy-matched comparison, throughput, profiling, and one question on the geometry example</w:t>
      </w:r>
    </w:p>
    <w:p>
      <w:pPr>
        <w:spacing w:after="160"/>
      </w:pPr>
      <w:r>
        <w:t xml:space="preserve"/>
      </w:r>
    </w:p>
    <w:p>
      <w:pPr>
        <w:spacing w:after="160"/>
      </w:pPr>
      <w:r>
        <w:t xml:space="preserve">Dear Timon,</w:t>
      </w:r>
    </w:p>
    <w:p>
      <w:pPr>
        <w:spacing w:after="160"/>
      </w:pPr>
      <w:r>
        <w:t xml:space="preserve">Here is where things stand on your five round-10 points.</w:t>
      </w:r>
    </w:p>
    <w:p>
      <w:pPr>
        <w:pStyle w:val="Heading2"/>
        <w:spacing w:after="150" w:before="300"/>
      </w:pPr>
      <w:r>
        <w:t xml:space="preserve">1. Accuracy-matched comparison (NO vs. coarsest suitable FEM)</w:t>
      </w:r>
    </w:p>
    <w:p>
      <w:pPr>
        <w:spacing w:after="160"/>
      </w:pPr>
      <w:r>
        <w:t xml:space="preserve">The NO's own accuracy at N=1401, checked directly against a real FEM ground truth there for the first time: displacement relative L2 error 44.65% (L2-norm 39.49%, H1 semi-norm 61.16%). This degrades smoothly and monotonically away from the trained resolutions — best at N=33/37 (≈7.4%), rising to 8.5% at N=49, 15.0% at N=101, and up to the N=1401 number above. Ground truth convergence was confirmed at every single resolution tested (relative residual 1.8e-11 to 1.0e-10 throughout).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2500"/>
        <w:gridCol w:w="2900"/>
      </w:tblGrid>
      <w:tr>
        <w:tc>
          <w:tcPr>
            <w:tcW w:type="dxa" w:w="1500"/>
            <w:shd w:fill="DDDDDD" w:val="clear"/>
          </w:tcPr>
          <w:p>
            <w:r>
              <w:rPr>
                <w:b/>
                <w:bCs/>
                <w:sz w:val="19"/>
                <w:szCs w:val="19"/>
              </w:rPr>
              <w:t xml:space="preserve">N</w:t>
            </w:r>
          </w:p>
        </w:tc>
        <w:tc>
          <w:tcPr>
            <w:tcW w:type="dxa" w:w="2500"/>
            <w:shd w:fill="DDDDDD" w:val="clear"/>
          </w:tcPr>
          <w:p>
            <w:r>
              <w:rPr>
                <w:b/>
                <w:bCs/>
                <w:sz w:val="19"/>
                <w:szCs w:val="19"/>
              </w:rPr>
              <w:t xml:space="preserve">disp_rel_L2</w:t>
            </w:r>
          </w:p>
        </w:tc>
        <w:tc>
          <w:tcPr>
            <w:tcW w:type="dxa" w:w="2500"/>
            <w:shd w:fill="DDDDDD" w:val="clear"/>
          </w:tcPr>
          <w:p>
            <w:r>
              <w:rPr>
                <w:b/>
                <w:bCs/>
                <w:sz w:val="19"/>
                <w:szCs w:val="19"/>
              </w:rPr>
              <w:t xml:space="preserve">L2_rel</w:t>
            </w:r>
          </w:p>
        </w:tc>
        <w:tc>
          <w:tcPr>
            <w:tcW w:type="dxa" w:w="2900"/>
            <w:shd w:fill="DDDDDD" w:val="clear"/>
          </w:tcPr>
          <w:p>
            <w:r>
              <w:rPr>
                <w:b/>
                <w:bCs/>
                <w:sz w:val="19"/>
                <w:szCs w:val="19"/>
              </w:rPr>
              <w:t xml:space="preserve">H1_semi_rel</w:t>
            </w:r>
          </w:p>
        </w:tc>
      </w:tr>
      <w:tr>
        <w:tc>
          <w:tcPr>
            <w:tcW w:type="dxa" w:w="1500"/>
          </w:tcPr>
          <w:p>
            <w:r>
              <w:rPr>
                <w:b w:val="false"/>
                <w:bCs w:val="false"/>
                <w:sz w:val="19"/>
                <w:szCs w:val="19"/>
              </w:rPr>
              <w:t xml:space="preserve">13</w:t>
            </w:r>
          </w:p>
        </w:tc>
        <w:tc>
          <w:tcPr>
            <w:tcW w:type="dxa" w:w="2500"/>
          </w:tcPr>
          <w:p>
            <w:r>
              <w:rPr>
                <w:b w:val="false"/>
                <w:bCs w:val="false"/>
                <w:sz w:val="19"/>
                <w:szCs w:val="19"/>
              </w:rPr>
              <w:t xml:space="preserve">13.85%</w:t>
            </w:r>
          </w:p>
        </w:tc>
        <w:tc>
          <w:tcPr>
            <w:tcW w:type="dxa" w:w="2500"/>
          </w:tcPr>
          <w:p>
            <w:r>
              <w:rPr>
                <w:b w:val="false"/>
                <w:bCs w:val="false"/>
                <w:sz w:val="19"/>
                <w:szCs w:val="19"/>
              </w:rPr>
              <w:t xml:space="preserve">6.58%</w:t>
            </w:r>
          </w:p>
        </w:tc>
        <w:tc>
          <w:tcPr>
            <w:tcW w:type="dxa" w:w="2900"/>
          </w:tcPr>
          <w:p>
            <w:r>
              <w:rPr>
                <w:b w:val="false"/>
                <w:bCs w:val="false"/>
                <w:sz w:val="19"/>
                <w:szCs w:val="19"/>
              </w:rPr>
              <w:t xml:space="preserve">20.43%</w:t>
            </w:r>
          </w:p>
        </w:tc>
      </w:tr>
      <w:tr>
        <w:tc>
          <w:tcPr>
            <w:tcW w:type="dxa" w:w="1500"/>
          </w:tcPr>
          <w:p>
            <w:r>
              <w:rPr>
                <w:b w:val="false"/>
                <w:bCs w:val="false"/>
                <w:sz w:val="19"/>
                <w:szCs w:val="19"/>
              </w:rPr>
              <w:t xml:space="preserve">21</w:t>
            </w:r>
          </w:p>
        </w:tc>
        <w:tc>
          <w:tcPr>
            <w:tcW w:type="dxa" w:w="2500"/>
          </w:tcPr>
          <w:p>
            <w:r>
              <w:rPr>
                <w:b w:val="false"/>
                <w:bCs w:val="false"/>
                <w:sz w:val="19"/>
                <w:szCs w:val="19"/>
              </w:rPr>
              <w:t xml:space="preserve">9.75%</w:t>
            </w:r>
          </w:p>
        </w:tc>
        <w:tc>
          <w:tcPr>
            <w:tcW w:type="dxa" w:w="2500"/>
          </w:tcPr>
          <w:p>
            <w:r>
              <w:rPr>
                <w:b w:val="false"/>
                <w:bCs w:val="false"/>
                <w:sz w:val="19"/>
                <w:szCs w:val="19"/>
              </w:rPr>
              <w:t xml:space="preserve">4.78%</w:t>
            </w:r>
          </w:p>
        </w:tc>
        <w:tc>
          <w:tcPr>
            <w:tcW w:type="dxa" w:w="2900"/>
          </w:tcPr>
          <w:p>
            <w:r>
              <w:rPr>
                <w:b w:val="false"/>
                <w:bCs w:val="false"/>
                <w:sz w:val="19"/>
                <w:szCs w:val="19"/>
              </w:rPr>
              <w:t xml:space="preserve">17.11%</w:t>
            </w:r>
          </w:p>
        </w:tc>
      </w:tr>
      <w:tr>
        <w:tc>
          <w:tcPr>
            <w:tcW w:type="dxa" w:w="1500"/>
          </w:tcPr>
          <w:p>
            <w:r>
              <w:rPr>
                <w:b w:val="false"/>
                <w:bCs w:val="false"/>
                <w:sz w:val="19"/>
                <w:szCs w:val="19"/>
              </w:rPr>
              <w:t xml:space="preserve">33</w:t>
            </w:r>
          </w:p>
        </w:tc>
        <w:tc>
          <w:tcPr>
            <w:tcW w:type="dxa" w:w="2500"/>
          </w:tcPr>
          <w:p>
            <w:r>
              <w:rPr>
                <w:b w:val="false"/>
                <w:bCs w:val="false"/>
                <w:sz w:val="19"/>
                <w:szCs w:val="19"/>
              </w:rPr>
              <w:t xml:space="preserve">7.37%</w:t>
            </w:r>
          </w:p>
        </w:tc>
        <w:tc>
          <w:tcPr>
            <w:tcW w:type="dxa" w:w="2500"/>
          </w:tcPr>
          <w:p>
            <w:r>
              <w:rPr>
                <w:b w:val="false"/>
                <w:bCs w:val="false"/>
                <w:sz w:val="19"/>
                <w:szCs w:val="19"/>
              </w:rPr>
              <w:t xml:space="preserve">3.81%</w:t>
            </w:r>
          </w:p>
        </w:tc>
        <w:tc>
          <w:tcPr>
            <w:tcW w:type="dxa" w:w="2900"/>
          </w:tcPr>
          <w:p>
            <w:r>
              <w:rPr>
                <w:b w:val="false"/>
                <w:bCs w:val="false"/>
                <w:sz w:val="19"/>
                <w:szCs w:val="19"/>
              </w:rPr>
              <w:t xml:space="preserve">14.30%</w:t>
            </w:r>
          </w:p>
        </w:tc>
      </w:tr>
      <w:tr>
        <w:tc>
          <w:tcPr>
            <w:tcW w:type="dxa" w:w="1500"/>
          </w:tcPr>
          <w:p>
            <w:r>
              <w:rPr>
                <w:b w:val="false"/>
                <w:bCs w:val="false"/>
                <w:sz w:val="19"/>
                <w:szCs w:val="19"/>
              </w:rPr>
              <w:t xml:space="preserve">49</w:t>
            </w:r>
          </w:p>
        </w:tc>
        <w:tc>
          <w:tcPr>
            <w:tcW w:type="dxa" w:w="2500"/>
          </w:tcPr>
          <w:p>
            <w:r>
              <w:rPr>
                <w:b w:val="false"/>
                <w:bCs w:val="false"/>
                <w:sz w:val="19"/>
                <w:szCs w:val="19"/>
              </w:rPr>
              <w:t xml:space="preserve">8.50%</w:t>
            </w:r>
          </w:p>
        </w:tc>
        <w:tc>
          <w:tcPr>
            <w:tcW w:type="dxa" w:w="2500"/>
          </w:tcPr>
          <w:p>
            <w:r>
              <w:rPr>
                <w:b w:val="false"/>
                <w:bCs w:val="false"/>
                <w:sz w:val="19"/>
                <w:szCs w:val="19"/>
              </w:rPr>
              <w:t xml:space="preserve">5.07%</w:t>
            </w:r>
          </w:p>
        </w:tc>
        <w:tc>
          <w:tcPr>
            <w:tcW w:type="dxa" w:w="2900"/>
          </w:tcPr>
          <w:p>
            <w:r>
              <w:rPr>
                <w:b w:val="false"/>
                <w:bCs w:val="false"/>
                <w:sz w:val="19"/>
                <w:szCs w:val="19"/>
              </w:rPr>
              <w:t xml:space="preserve">14.07%</w:t>
            </w:r>
          </w:p>
        </w:tc>
      </w:tr>
      <w:tr>
        <w:tc>
          <w:tcPr>
            <w:tcW w:type="dxa" w:w="1500"/>
          </w:tcPr>
          <w:p>
            <w:r>
              <w:rPr>
                <w:b w:val="false"/>
                <w:bCs w:val="false"/>
                <w:sz w:val="19"/>
                <w:szCs w:val="19"/>
              </w:rPr>
              <w:t xml:space="preserve">101</w:t>
            </w:r>
          </w:p>
        </w:tc>
        <w:tc>
          <w:tcPr>
            <w:tcW w:type="dxa" w:w="2500"/>
          </w:tcPr>
          <w:p>
            <w:r>
              <w:rPr>
                <w:b w:val="false"/>
                <w:bCs w:val="false"/>
                <w:sz w:val="19"/>
                <w:szCs w:val="19"/>
              </w:rPr>
              <w:t xml:space="preserve">14.99%</w:t>
            </w:r>
          </w:p>
        </w:tc>
        <w:tc>
          <w:tcPr>
            <w:tcW w:type="dxa" w:w="2500"/>
          </w:tcPr>
          <w:p>
            <w:r>
              <w:rPr>
                <w:b w:val="false"/>
                <w:bCs w:val="false"/>
                <w:sz w:val="19"/>
                <w:szCs w:val="19"/>
              </w:rPr>
              <w:t xml:space="preserve">10.91%</w:t>
            </w:r>
          </w:p>
        </w:tc>
        <w:tc>
          <w:tcPr>
            <w:tcW w:type="dxa" w:w="2900"/>
          </w:tcPr>
          <w:p>
            <w:r>
              <w:rPr>
                <w:b w:val="false"/>
                <w:bCs w:val="false"/>
                <w:sz w:val="19"/>
                <w:szCs w:val="19"/>
              </w:rPr>
              <w:t xml:space="preserve">19.99%</w:t>
            </w:r>
          </w:p>
        </w:tc>
      </w:tr>
      <w:tr>
        <w:tc>
          <w:tcPr>
            <w:tcW w:type="dxa" w:w="1500"/>
          </w:tcPr>
          <w:p>
            <w:r>
              <w:rPr>
                <w:b w:val="false"/>
                <w:bCs w:val="false"/>
                <w:sz w:val="19"/>
                <w:szCs w:val="19"/>
              </w:rPr>
              <w:t xml:space="preserve">201</w:t>
            </w:r>
          </w:p>
        </w:tc>
        <w:tc>
          <w:tcPr>
            <w:tcW w:type="dxa" w:w="2500"/>
          </w:tcPr>
          <w:p>
            <w:r>
              <w:rPr>
                <w:b w:val="false"/>
                <w:bCs w:val="false"/>
                <w:sz w:val="19"/>
                <w:szCs w:val="19"/>
              </w:rPr>
              <w:t xml:space="preserve">22.28%</w:t>
            </w:r>
          </w:p>
        </w:tc>
        <w:tc>
          <w:tcPr>
            <w:tcW w:type="dxa" w:w="2500"/>
          </w:tcPr>
          <w:p>
            <w:r>
              <w:rPr>
                <w:b w:val="false"/>
                <w:bCs w:val="false"/>
                <w:sz w:val="19"/>
                <w:szCs w:val="19"/>
              </w:rPr>
              <w:t xml:space="preserve">17.79%</w:t>
            </w:r>
          </w:p>
        </w:tc>
        <w:tc>
          <w:tcPr>
            <w:tcW w:type="dxa" w:w="2900"/>
          </w:tcPr>
          <w:p>
            <w:r>
              <w:rPr>
                <w:b w:val="false"/>
                <w:bCs w:val="false"/>
                <w:sz w:val="19"/>
                <w:szCs w:val="19"/>
              </w:rPr>
              <w:t xml:space="preserve">28.38%</w:t>
            </w:r>
          </w:p>
        </w:tc>
      </w:tr>
      <w:tr>
        <w:tc>
          <w:tcPr>
            <w:tcW w:type="dxa" w:w="1500"/>
          </w:tcPr>
          <w:p>
            <w:r>
              <w:rPr>
                <w:b w:val="false"/>
                <w:bCs w:val="false"/>
                <w:sz w:val="19"/>
                <w:szCs w:val="19"/>
              </w:rPr>
              <w:t xml:space="preserve">401</w:t>
            </w:r>
          </w:p>
        </w:tc>
        <w:tc>
          <w:tcPr>
            <w:tcW w:type="dxa" w:w="2500"/>
          </w:tcPr>
          <w:p>
            <w:r>
              <w:rPr>
                <w:b w:val="false"/>
                <w:bCs w:val="false"/>
                <w:sz w:val="19"/>
                <w:szCs w:val="19"/>
              </w:rPr>
              <w:t xml:space="preserve">28.97%</w:t>
            </w:r>
          </w:p>
        </w:tc>
        <w:tc>
          <w:tcPr>
            <w:tcW w:type="dxa" w:w="2500"/>
          </w:tcPr>
          <w:p>
            <w:r>
              <w:rPr>
                <w:b w:val="false"/>
                <w:bCs w:val="false"/>
                <w:sz w:val="19"/>
                <w:szCs w:val="19"/>
              </w:rPr>
              <w:t xml:space="preserve">24.73%</w:t>
            </w:r>
          </w:p>
        </w:tc>
        <w:tc>
          <w:tcPr>
            <w:tcW w:type="dxa" w:w="2900"/>
          </w:tcPr>
          <w:p>
            <w:r>
              <w:rPr>
                <w:b w:val="false"/>
                <w:bCs w:val="false"/>
                <w:sz w:val="19"/>
                <w:szCs w:val="19"/>
              </w:rPr>
              <w:t xml:space="preserve">36.92%</w:t>
            </w:r>
          </w:p>
        </w:tc>
      </w:tr>
      <w:tr>
        <w:tc>
          <w:tcPr>
            <w:tcW w:type="dxa" w:w="1500"/>
          </w:tcPr>
          <w:p>
            <w:r>
              <w:rPr>
                <w:b w:val="false"/>
                <w:bCs w:val="false"/>
                <w:sz w:val="19"/>
                <w:szCs w:val="19"/>
              </w:rPr>
              <w:t xml:space="preserve">701</w:t>
            </w:r>
          </w:p>
        </w:tc>
        <w:tc>
          <w:tcPr>
            <w:tcW w:type="dxa" w:w="2500"/>
          </w:tcPr>
          <w:p>
            <w:r>
              <w:rPr>
                <w:b w:val="false"/>
                <w:bCs w:val="false"/>
                <w:sz w:val="19"/>
                <w:szCs w:val="19"/>
              </w:rPr>
              <w:t xml:space="preserve">34.34%</w:t>
            </w:r>
          </w:p>
        </w:tc>
        <w:tc>
          <w:tcPr>
            <w:tcW w:type="dxa" w:w="2500"/>
          </w:tcPr>
          <w:p>
            <w:r>
              <w:rPr>
                <w:b w:val="false"/>
                <w:bCs w:val="false"/>
                <w:sz w:val="19"/>
                <w:szCs w:val="19"/>
              </w:rPr>
              <w:t xml:space="preserve">30.60%</w:t>
            </w:r>
          </w:p>
        </w:tc>
        <w:tc>
          <w:tcPr>
            <w:tcW w:type="dxa" w:w="2900"/>
          </w:tcPr>
          <w:p>
            <w:r>
              <w:rPr>
                <w:b w:val="false"/>
                <w:bCs w:val="false"/>
                <w:sz w:val="19"/>
                <w:szCs w:val="19"/>
              </w:rPr>
              <w:t xml:space="preserve">44.87%</w:t>
            </w:r>
          </w:p>
        </w:tc>
      </w:tr>
      <w:tr>
        <w:tc>
          <w:tcPr>
            <w:tcW w:type="dxa" w:w="1500"/>
          </w:tcPr>
          <w:p>
            <w:r>
              <w:rPr>
                <w:b w:val="false"/>
                <w:bCs w:val="false"/>
                <w:sz w:val="19"/>
                <w:szCs w:val="19"/>
              </w:rPr>
              <w:t xml:space="preserve">1001</w:t>
            </w:r>
          </w:p>
        </w:tc>
        <w:tc>
          <w:tcPr>
            <w:tcW w:type="dxa" w:w="2500"/>
          </w:tcPr>
          <w:p>
            <w:r>
              <w:rPr>
                <w:b w:val="false"/>
                <w:bCs w:val="false"/>
                <w:sz w:val="19"/>
                <w:szCs w:val="19"/>
              </w:rPr>
              <w:t xml:space="preserve">38.82%</w:t>
            </w:r>
          </w:p>
        </w:tc>
        <w:tc>
          <w:tcPr>
            <w:tcW w:type="dxa" w:w="2500"/>
          </w:tcPr>
          <w:p>
            <w:r>
              <w:rPr>
                <w:b w:val="false"/>
                <w:bCs w:val="false"/>
                <w:sz w:val="19"/>
                <w:szCs w:val="19"/>
              </w:rPr>
              <w:t xml:space="preserve">34.86%</w:t>
            </w:r>
          </w:p>
        </w:tc>
        <w:tc>
          <w:tcPr>
            <w:tcW w:type="dxa" w:w="2900"/>
          </w:tcPr>
          <w:p>
            <w:r>
              <w:rPr>
                <w:b w:val="false"/>
                <w:bCs w:val="false"/>
                <w:sz w:val="19"/>
                <w:szCs w:val="19"/>
              </w:rPr>
              <w:t xml:space="preserve">51.82%</w:t>
            </w:r>
          </w:p>
        </w:tc>
      </w:tr>
      <w:tr>
        <w:tc>
          <w:tcPr>
            <w:tcW w:type="dxa" w:w="1500"/>
          </w:tcPr>
          <w:p>
            <w:r>
              <w:rPr>
                <w:b w:val="false"/>
                <w:bCs w:val="false"/>
                <w:sz w:val="19"/>
                <w:szCs w:val="19"/>
              </w:rPr>
              <w:t xml:space="preserve">1401</w:t>
            </w:r>
          </w:p>
        </w:tc>
        <w:tc>
          <w:tcPr>
            <w:tcW w:type="dxa" w:w="2500"/>
          </w:tcPr>
          <w:p>
            <w:r>
              <w:rPr>
                <w:b w:val="false"/>
                <w:bCs w:val="false"/>
                <w:sz w:val="19"/>
                <w:szCs w:val="19"/>
              </w:rPr>
              <w:t xml:space="preserve">44.65%</w:t>
            </w:r>
          </w:p>
        </w:tc>
        <w:tc>
          <w:tcPr>
            <w:tcW w:type="dxa" w:w="2500"/>
          </w:tcPr>
          <w:p>
            <w:r>
              <w:rPr>
                <w:b w:val="false"/>
                <w:bCs w:val="false"/>
                <w:sz w:val="19"/>
                <w:szCs w:val="19"/>
              </w:rPr>
              <w:t xml:space="preserve">39.49%</w:t>
            </w:r>
          </w:p>
        </w:tc>
        <w:tc>
          <w:tcPr>
            <w:tcW w:type="dxa" w:w="2900"/>
          </w:tcPr>
          <w:p>
            <w:r>
              <w:rPr>
                <w:b w:val="false"/>
                <w:bCs w:val="false"/>
                <w:sz w:val="19"/>
                <w:szCs w:val="19"/>
              </w:rPr>
              <w:t xml:space="preserve">61.16%</w:t>
            </w:r>
          </w:p>
        </w:tc>
      </w:tr>
    </w:tbl>
    <w:p>
      <w:pPr>
        <w:spacing w:after="260"/>
      </w:pPr>
      <w:r>
        <w:rPr>
          <w:i/>
          <w:iCs/>
          <w:sz w:val="18"/>
          <w:szCs w:val="18"/>
        </w:rPr>
        <w:t xml:space="preserve">Table 1. NO accuracy vs. resolution, real ground truth at every N (full table has 16 rows, N=13-1401; abridged here).</w:t>
      </w:r>
    </w:p>
    <w:p>
      <w:pPr>
        <w:spacing w:after="60" w:before="120"/>
        <w:jc w:val="center"/>
      </w:pPr>
      <w:r>
        <w:drawing>
          <wp:inline distT="0" distB="0" distL="0" distR="0">
            <wp:extent cx="457200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2943225"/>
                    </a:xfrm>
                    <a:prstGeom prst="rect">
                      <a:avLst/>
                    </a:prstGeom>
                  </pic:spPr>
                </pic:pic>
              </a:graphicData>
            </a:graphic>
          </wp:inline>
        </w:drawing>
      </w:r>
    </w:p>
    <w:p>
      <w:pPr>
        <w:spacing w:after="260"/>
      </w:pPr>
      <w:r>
        <w:rPr>
          <w:i/>
          <w:iCs/>
          <w:sz w:val="18"/>
          <w:szCs w:val="18"/>
        </w:rPr>
        <w:t xml:space="preserve">Figure 1. NO accuracy degradation, N=49 (top of the originally validated range) to N=1401.</w:t>
      </w:r>
    </w:p>
    <w:p>
      <w:pPr>
        <w:spacing w:after="160"/>
      </w:pPr>
      <w:r>
        <w:t xml:space="preserve">Comparing this against native FEM (torch-fem) at the same low resolutions, across the same QoI set (L2, H1, tangent energy, peak PK1 stress, reaction resultant): a near-degenerate FEM mesh (as coarse as N=3-9, i.e. 9-81 nodes) already matches or beats the operator's own best-case accuracy in L2, H1, energy, and reactions.</w:t>
      </w:r>
    </w:p>
    <w:p>
      <w:pPr>
        <w:spacing w:after="160"/>
      </w:pPr>
      <w:r>
        <w:t xml:space="preserve">One QoI needs an explicit caveat rather than a clean number: peak PK1 stress, evaluated at a fixed location/value located once from a fine reference (same convention for both methods). Both methods converge to it very slowly — torch-fem's own error there barely improves from 83% to 62% across the whole low-N range, while its other QoIs converge at the expected rate over the same range. The located point sits essentially at the domain corner where the fixed boundary meets the free edge — a classic boundary-condition-transition location prone to a stress singularity in elasticity, where the continuum target may not even be well-posed for either method to converge to in the usual sense. We think this metric should be reported with that caveat attached rather than used as a clean deciding factor.</w:t>
      </w:r>
    </w:p>
    <w:p>
      <w:pPr>
        <w:spacing w:after="160"/>
      </w:pPr>
      <w:r>
        <w:t xml:space="preserve">We are also mid-way through retraining the operator on a wider spread of resolutions (adding N=101 and 201 to the original 21/33) to see how much of the degradation above is an ordinary, addressable resolution-generalization gap. Validation error has already dropped substantially during training, but we have not yet re-run the same rigorous FEM-referenced check on the new checkpoint — will follow up with that once it's verified.</w:t>
      </w:r>
    </w:p>
    <w:p>
      <w:pPr>
        <w:pStyle w:val="Heading2"/>
        <w:spacing w:after="150" w:before="300"/>
      </w:pPr>
      <w:r>
        <w:t xml:space="preserve">2. Batch size and throughput at matched GPU memory</w:t>
      </w:r>
    </w:p>
    <w:p>
      <w:pPr>
        <w:spacing w:after="160"/>
      </w:pPr>
      <w:r>
        <w:t xml:space="preserve">Re-measured with the corrected checkpoint, including two additional matched-memory scenarios (each method capped at the other's own memory ceiling), N=21:</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200"/>
        <w:gridCol w:w="2200"/>
        <w:gridCol w:w="2200"/>
        <w:gridCol w:w="2800"/>
      </w:tblGrid>
      <w:tr>
        <w:tc>
          <w:tcPr>
            <w:tcW w:type="dxa" w:w="3200"/>
            <w:shd w:fill="DDDDDD" w:val="clear"/>
          </w:tcPr>
          <w:p>
            <w:r>
              <w:rPr>
                <w:b/>
                <w:bCs/>
                <w:sz w:val="19"/>
                <w:szCs w:val="19"/>
              </w:rPr>
              <w:t xml:space="preserve">Scenario</w:t>
            </w:r>
          </w:p>
        </w:tc>
        <w:tc>
          <w:tcPr>
            <w:tcW w:type="dxa" w:w="2200"/>
            <w:shd w:fill="DDDDDD" w:val="clear"/>
          </w:tcPr>
          <w:p>
            <w:r>
              <w:rPr>
                <w:b/>
                <w:bCs/>
                <w:sz w:val="19"/>
                <w:szCs w:val="19"/>
              </w:rPr>
              <w:t xml:space="preserve">Max batch size</w:t>
            </w:r>
          </w:p>
        </w:tc>
        <w:tc>
          <w:tcPr>
            <w:tcW w:type="dxa" w:w="2200"/>
            <w:shd w:fill="DDDDDD" w:val="clear"/>
          </w:tcPr>
          <w:p>
            <w:r>
              <w:rPr>
                <w:b/>
                <w:bCs/>
                <w:sz w:val="19"/>
                <w:szCs w:val="19"/>
              </w:rPr>
              <w:t xml:space="preserve">Peak GPU memory</w:t>
            </w:r>
          </w:p>
        </w:tc>
        <w:tc>
          <w:tcPr>
            <w:tcW w:type="dxa" w:w="2800"/>
            <w:shd w:fill="DDDDDD" w:val="clear"/>
          </w:tcPr>
          <w:p>
            <w:r>
              <w:rPr>
                <w:b/>
                <w:bCs/>
                <w:sz w:val="19"/>
                <w:szCs w:val="19"/>
              </w:rPr>
              <w:t xml:space="preserve">Throughput</w:t>
            </w:r>
          </w:p>
        </w:tc>
      </w:tr>
      <w:tr>
        <w:tc>
          <w:tcPr>
            <w:tcW w:type="dxa" w:w="3200"/>
          </w:tcPr>
          <w:p>
            <w:r>
              <w:rPr>
                <w:b w:val="false"/>
                <w:bCs w:val="false"/>
                <w:sz w:val="19"/>
                <w:szCs w:val="19"/>
              </w:rPr>
              <w:t xml:space="preserve">NO (own ceiling)</w:t>
            </w:r>
          </w:p>
        </w:tc>
        <w:tc>
          <w:tcPr>
            <w:tcW w:type="dxa" w:w="2200"/>
          </w:tcPr>
          <w:p>
            <w:r>
              <w:rPr>
                <w:b w:val="false"/>
                <w:bCs w:val="false"/>
                <w:sz w:val="19"/>
                <w:szCs w:val="19"/>
              </w:rPr>
              <w:t xml:space="preserve">8,192</w:t>
            </w:r>
          </w:p>
        </w:tc>
        <w:tc>
          <w:tcPr>
            <w:tcW w:type="dxa" w:w="2200"/>
          </w:tcPr>
          <w:p>
            <w:r>
              <w:rPr>
                <w:b w:val="false"/>
                <w:bCs w:val="false"/>
                <w:sz w:val="19"/>
                <w:szCs w:val="19"/>
              </w:rPr>
              <w:t xml:space="preserve">47.6 GB</w:t>
            </w:r>
          </w:p>
        </w:tc>
        <w:tc>
          <w:tcPr>
            <w:tcW w:type="dxa" w:w="2800"/>
          </w:tcPr>
          <w:p>
            <w:r>
              <w:rPr>
                <w:b w:val="false"/>
                <w:bCs w:val="false"/>
                <w:sz w:val="19"/>
                <w:szCs w:val="19"/>
              </w:rPr>
              <w:t xml:space="preserve">4,203.79 samples/s</w:t>
            </w:r>
          </w:p>
        </w:tc>
      </w:tr>
      <w:tr>
        <w:tc>
          <w:tcPr>
            <w:tcW w:type="dxa" w:w="3200"/>
          </w:tcPr>
          <w:p>
            <w:r>
              <w:rPr>
                <w:b w:val="false"/>
                <w:bCs w:val="false"/>
                <w:sz w:val="19"/>
                <w:szCs w:val="19"/>
              </w:rPr>
              <w:t xml:space="preserve">FEM (own ceiling)</w:t>
            </w:r>
          </w:p>
        </w:tc>
        <w:tc>
          <w:tcPr>
            <w:tcW w:type="dxa" w:w="2200"/>
          </w:tcPr>
          <w:p>
            <w:r>
              <w:rPr>
                <w:b w:val="false"/>
                <w:bCs w:val="false"/>
                <w:sz w:val="19"/>
                <w:szCs w:val="19"/>
              </w:rPr>
              <w:t xml:space="preserve">256</w:t>
            </w:r>
          </w:p>
        </w:tc>
        <w:tc>
          <w:tcPr>
            <w:tcW w:type="dxa" w:w="2200"/>
          </w:tcPr>
          <w:p>
            <w:r>
              <w:rPr>
                <w:b w:val="false"/>
                <w:bCs w:val="false"/>
                <w:sz w:val="19"/>
                <w:szCs w:val="19"/>
              </w:rPr>
              <w:t xml:space="preserve">38.7 GB</w:t>
            </w:r>
          </w:p>
        </w:tc>
        <w:tc>
          <w:tcPr>
            <w:tcW w:type="dxa" w:w="2800"/>
          </w:tcPr>
          <w:p>
            <w:r>
              <w:rPr>
                <w:b w:val="false"/>
                <w:bCs w:val="false"/>
                <w:sz w:val="19"/>
                <w:szCs w:val="19"/>
              </w:rPr>
              <w:t xml:space="preserve">2.86 samples/s</w:t>
            </w:r>
          </w:p>
        </w:tc>
      </w:tr>
      <w:tr>
        <w:tc>
          <w:tcPr>
            <w:tcW w:type="dxa" w:w="3200"/>
          </w:tcPr>
          <w:p>
            <w:r>
              <w:rPr>
                <w:b w:val="false"/>
                <w:bCs w:val="false"/>
                <w:sz w:val="19"/>
                <w:szCs w:val="19"/>
              </w:rPr>
              <w:t xml:space="preserve">FEM (capped at NO's 47.6 GB)</w:t>
            </w:r>
          </w:p>
        </w:tc>
        <w:tc>
          <w:tcPr>
            <w:tcW w:type="dxa" w:w="2200"/>
          </w:tcPr>
          <w:p>
            <w:r>
              <w:rPr>
                <w:b w:val="false"/>
                <w:bCs w:val="false"/>
                <w:sz w:val="19"/>
                <w:szCs w:val="19"/>
              </w:rPr>
              <w:t xml:space="preserve">256</w:t>
            </w:r>
          </w:p>
        </w:tc>
        <w:tc>
          <w:tcPr>
            <w:tcW w:type="dxa" w:w="2200"/>
          </w:tcPr>
          <w:p>
            <w:r>
              <w:rPr>
                <w:b w:val="false"/>
                <w:bCs w:val="false"/>
                <w:sz w:val="19"/>
                <w:szCs w:val="19"/>
              </w:rPr>
              <w:t xml:space="preserve">38.7 GB</w:t>
            </w:r>
          </w:p>
        </w:tc>
        <w:tc>
          <w:tcPr>
            <w:tcW w:type="dxa" w:w="2800"/>
          </w:tcPr>
          <w:p>
            <w:r>
              <w:rPr>
                <w:b w:val="false"/>
                <w:bCs w:val="false"/>
                <w:sz w:val="19"/>
                <w:szCs w:val="19"/>
              </w:rPr>
              <w:t xml:space="preserve">2.86 samples/s</w:t>
            </w:r>
          </w:p>
        </w:tc>
      </w:tr>
      <w:tr>
        <w:tc>
          <w:tcPr>
            <w:tcW w:type="dxa" w:w="3200"/>
          </w:tcPr>
          <w:p>
            <w:r>
              <w:rPr>
                <w:b w:val="false"/>
                <w:bCs w:val="false"/>
                <w:sz w:val="19"/>
                <w:szCs w:val="19"/>
              </w:rPr>
              <w:t xml:space="preserve">NO (capped at FEM's 38.7 GB)</w:t>
            </w:r>
          </w:p>
        </w:tc>
        <w:tc>
          <w:tcPr>
            <w:tcW w:type="dxa" w:w="2200"/>
          </w:tcPr>
          <w:p>
            <w:r>
              <w:rPr>
                <w:b w:val="false"/>
                <w:bCs w:val="false"/>
                <w:sz w:val="19"/>
                <w:szCs w:val="19"/>
              </w:rPr>
              <w:t xml:space="preserve">4,096</w:t>
            </w:r>
          </w:p>
        </w:tc>
        <w:tc>
          <w:tcPr>
            <w:tcW w:type="dxa" w:w="2200"/>
          </w:tcPr>
          <w:p>
            <w:r>
              <w:rPr>
                <w:b w:val="false"/>
                <w:bCs w:val="false"/>
                <w:sz w:val="19"/>
                <w:szCs w:val="19"/>
              </w:rPr>
              <w:t xml:space="preserve">23.8 GB</w:t>
            </w:r>
          </w:p>
        </w:tc>
        <w:tc>
          <w:tcPr>
            <w:tcW w:type="dxa" w:w="2800"/>
          </w:tcPr>
          <w:p>
            <w:r>
              <w:rPr>
                <w:b w:val="false"/>
                <w:bCs w:val="false"/>
                <w:sz w:val="19"/>
                <w:szCs w:val="19"/>
              </w:rPr>
              <w:t xml:space="preserve">4,207.75 samples/s</w:t>
            </w:r>
          </w:p>
        </w:tc>
      </w:tr>
    </w:tbl>
    <w:p>
      <w:pPr>
        <w:spacing w:after="260"/>
      </w:pPr>
      <w:r>
        <w:rPr>
          <w:i/>
          <w:iCs/>
          <w:sz w:val="18"/>
          <w:szCs w:val="18"/>
        </w:rPr>
        <w:t xml:space="preserve">Table 2. Max feasible batch size and throughput, NO vs. native FEM, same GPU, corrected checkpoint.</w:t>
      </w:r>
    </w:p>
    <w:p>
      <w:pPr>
        <w:spacing w:after="60" w:before="120"/>
        <w:jc w:val="center"/>
      </w:pPr>
      <w:r>
        <w:drawing>
          <wp:inline distT="0" distB="0" distL="0" distR="0">
            <wp:extent cx="457200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2943225"/>
                    </a:xfrm>
                    <a:prstGeom prst="rect">
                      <a:avLst/>
                    </a:prstGeom>
                  </pic:spPr>
                </pic:pic>
              </a:graphicData>
            </a:graphic>
          </wp:inline>
        </w:drawing>
      </w:r>
    </w:p>
    <w:p>
      <w:pPr>
        <w:spacing w:after="260"/>
      </w:pPr>
      <w:r>
        <w:rPr>
          <w:i/>
          <w:iCs/>
          <w:sz w:val="18"/>
          <w:szCs w:val="18"/>
        </w:rPr>
        <w:t xml:space="preserve">Figure 2. Throughput and peak memory vs. batch size, NO vs. FEM, own memory ceilings.</w:t>
      </w:r>
    </w:p>
    <w:p>
      <w:pPr>
        <w:spacing w:after="160"/>
      </w:pPr>
      <w:r>
        <w:t xml:space="preserve">Peak throughput favors the NO by roughly 1,470x regardless of which memory budget is used to cap it — FEM's own ceiling is already below its saturation point, so giving it more memory (matching the NO's own 47.6 GB) changes nothing, while the NO barely gives anything up when capped down to FEM's much smaller 38.7 GB (4,207.75 vs. 4,203.79 samples/s). Batching helps the NO substantially (throughput rises ~20x from bs=1 to its own ceiling) while FEM barely benefits (~5x) — matching your own stated expectation directly. Re-measured with the corrected checkpoint and confirmed essentially identical to the original run — resolved, checkpoint-independent as expected.</w:t>
      </w:r>
    </w:p>
    <w:p>
      <w:pPr>
        <w:pStyle w:val="Heading2"/>
        <w:spacing w:after="150" w:before="300"/>
      </w:pPr>
      <w:r>
        <w:t xml:space="preserve">3. NO inference optimization and profiling</w:t>
      </w:r>
    </w:p>
    <w:p>
      <w:pPr>
        <w:spacing w:after="160"/>
      </w:pPr>
      <w:r>
        <w:t xml:space="preserve">Pure GPU forward-pass time after warm-up (excluding data transfer/preprocessing), fp32, batch size 1, N=1401: 2,290 ms/sample. Peak GPU memory: 23.16 GB — notably higher than our own GPU-FEM solver's peak memory at the same N (15.6-20.5 GB), so the NO is not the more memory-frugal option here either. Profiler breakdown: ~67% of time in batched matmuls (the slice-based attention operating on ~2M mesh nodes), ~22% in the MLP layers — the cost is in genuine core compute at this token count, not an obvious inefficiency.</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400"/>
        <w:gridCol w:w="2200"/>
      </w:tblGrid>
      <w:tr>
        <w:tc>
          <w:tcPr>
            <w:tcW w:type="dxa" w:w="2600"/>
            <w:shd w:fill="DDDDDD" w:val="clear"/>
          </w:tcPr>
          <w:p>
            <w:r>
              <w:rPr>
                <w:b/>
                <w:bCs/>
                <w:sz w:val="19"/>
                <w:szCs w:val="19"/>
              </w:rPr>
              <w:t xml:space="preserve">Variant</w:t>
            </w:r>
          </w:p>
        </w:tc>
        <w:tc>
          <w:tcPr>
            <w:tcW w:type="dxa" w:w="2200"/>
            <w:shd w:fill="DDDDDD" w:val="clear"/>
          </w:tcPr>
          <w:p>
            <w:r>
              <w:rPr>
                <w:b/>
                <w:bCs/>
                <w:sz w:val="19"/>
                <w:szCs w:val="19"/>
              </w:rPr>
              <w:t xml:space="preserve">ms/sample</w:t>
            </w:r>
          </w:p>
        </w:tc>
        <w:tc>
          <w:tcPr>
            <w:tcW w:type="dxa" w:w="2400"/>
            <w:shd w:fill="DDDDDD" w:val="clear"/>
          </w:tcPr>
          <w:p>
            <w:r>
              <w:rPr>
                <w:b/>
                <w:bCs/>
                <w:sz w:val="19"/>
                <w:szCs w:val="19"/>
              </w:rPr>
              <w:t xml:space="preserve">Speedup vs. eager</w:t>
            </w:r>
          </w:p>
        </w:tc>
        <w:tc>
          <w:tcPr>
            <w:tcW w:type="dxa" w:w="2200"/>
            <w:shd w:fill="DDDDDD" w:val="clear"/>
          </w:tcPr>
          <w:p>
            <w:r>
              <w:rPr>
                <w:b/>
                <w:bCs/>
                <w:sz w:val="19"/>
                <w:szCs w:val="19"/>
              </w:rPr>
              <w:t xml:space="preserve">Output diff vs. eager</w:t>
            </w:r>
          </w:p>
        </w:tc>
      </w:tr>
      <w:tr>
        <w:tc>
          <w:tcPr>
            <w:tcW w:type="dxa" w:w="2600"/>
          </w:tcPr>
          <w:p>
            <w:r>
              <w:rPr>
                <w:b w:val="false"/>
                <w:bCs w:val="false"/>
                <w:sz w:val="19"/>
                <w:szCs w:val="19"/>
              </w:rPr>
              <w:t xml:space="preserve">eager (fp32)</w:t>
            </w:r>
          </w:p>
        </w:tc>
        <w:tc>
          <w:tcPr>
            <w:tcW w:type="dxa" w:w="2200"/>
          </w:tcPr>
          <w:p>
            <w:r>
              <w:rPr>
                <w:b w:val="false"/>
                <w:bCs w:val="false"/>
                <w:sz w:val="19"/>
                <w:szCs w:val="19"/>
              </w:rPr>
              <w:t xml:space="preserve">2,292.1</w:t>
            </w:r>
          </w:p>
        </w:tc>
        <w:tc>
          <w:tcPr>
            <w:tcW w:type="dxa" w:w="2400"/>
          </w:tcPr>
          <w:p>
            <w:r>
              <w:rPr>
                <w:b w:val="false"/>
                <w:bCs w:val="false"/>
                <w:sz w:val="19"/>
                <w:szCs w:val="19"/>
              </w:rPr>
              <w:t xml:space="preserve">1.00x</w:t>
            </w:r>
          </w:p>
        </w:tc>
        <w:tc>
          <w:tcPr>
            <w:tcW w:type="dxa" w:w="2200"/>
          </w:tcPr>
          <w:p>
            <w:r>
              <w:rPr>
                <w:b w:val="false"/>
                <w:bCs w:val="false"/>
                <w:sz w:val="19"/>
                <w:szCs w:val="19"/>
              </w:rPr>
              <w:t xml:space="preserve">—</w:t>
            </w:r>
          </w:p>
        </w:tc>
      </w:tr>
      <w:tr>
        <w:tc>
          <w:tcPr>
            <w:tcW w:type="dxa" w:w="2600"/>
          </w:tcPr>
          <w:p>
            <w:r>
              <w:rPr>
                <w:b w:val="false"/>
                <w:bCs w:val="false"/>
                <w:sz w:val="19"/>
                <w:szCs w:val="19"/>
              </w:rPr>
              <w:t xml:space="preserve">torch.compile</w:t>
            </w:r>
          </w:p>
        </w:tc>
        <w:tc>
          <w:tcPr>
            <w:tcW w:type="dxa" w:w="2200"/>
          </w:tcPr>
          <w:p>
            <w:r>
              <w:rPr>
                <w:b w:val="false"/>
                <w:bCs w:val="false"/>
                <w:sz w:val="19"/>
                <w:szCs w:val="19"/>
              </w:rPr>
              <w:t xml:space="preserve">2,145.1</w:t>
            </w:r>
          </w:p>
        </w:tc>
        <w:tc>
          <w:tcPr>
            <w:tcW w:type="dxa" w:w="2400"/>
          </w:tcPr>
          <w:p>
            <w:r>
              <w:rPr>
                <w:b w:val="false"/>
                <w:bCs w:val="false"/>
                <w:sz w:val="19"/>
                <w:szCs w:val="19"/>
              </w:rPr>
              <w:t xml:space="preserve">1.07x</w:t>
            </w:r>
          </w:p>
        </w:tc>
        <w:tc>
          <w:tcPr>
            <w:tcW w:type="dxa" w:w="2200"/>
          </w:tcPr>
          <w:p>
            <w:r>
              <w:rPr>
                <w:b w:val="false"/>
                <w:bCs w:val="false"/>
                <w:sz w:val="19"/>
                <w:szCs w:val="19"/>
              </w:rPr>
              <w:t xml:space="preserve">6.0e-7</w:t>
            </w:r>
          </w:p>
        </w:tc>
      </w:tr>
      <w:tr>
        <w:tc>
          <w:tcPr>
            <w:tcW w:type="dxa" w:w="2600"/>
          </w:tcPr>
          <w:p>
            <w:r>
              <w:rPr>
                <w:b w:val="false"/>
                <w:bCs w:val="false"/>
                <w:sz w:val="19"/>
                <w:szCs w:val="19"/>
              </w:rPr>
              <w:t xml:space="preserve">eager + TF32</w:t>
            </w:r>
          </w:p>
        </w:tc>
        <w:tc>
          <w:tcPr>
            <w:tcW w:type="dxa" w:w="2200"/>
          </w:tcPr>
          <w:p>
            <w:r>
              <w:rPr>
                <w:b w:val="false"/>
                <w:bCs w:val="false"/>
                <w:sz w:val="19"/>
                <w:szCs w:val="19"/>
              </w:rPr>
              <w:t xml:space="preserve">491.2</w:t>
            </w:r>
          </w:p>
        </w:tc>
        <w:tc>
          <w:tcPr>
            <w:tcW w:type="dxa" w:w="2400"/>
          </w:tcPr>
          <w:p>
            <w:r>
              <w:rPr>
                <w:b w:val="false"/>
                <w:bCs w:val="false"/>
                <w:sz w:val="19"/>
                <w:szCs w:val="19"/>
              </w:rPr>
              <w:t xml:space="preserve">4.67x</w:t>
            </w:r>
          </w:p>
        </w:tc>
        <w:tc>
          <w:tcPr>
            <w:tcW w:type="dxa" w:w="2200"/>
          </w:tcPr>
          <w:p>
            <w:r>
              <w:rPr>
                <w:b w:val="false"/>
                <w:bCs w:val="false"/>
                <w:sz w:val="19"/>
                <w:szCs w:val="19"/>
              </w:rPr>
              <w:t xml:space="preserve">3.2e-3</w:t>
            </w:r>
          </w:p>
        </w:tc>
      </w:tr>
      <w:tr>
        <w:tc>
          <w:tcPr>
            <w:tcW w:type="dxa" w:w="2600"/>
          </w:tcPr>
          <w:p>
            <w:r>
              <w:rPr>
                <w:b w:val="false"/>
                <w:bCs w:val="false"/>
                <w:sz w:val="19"/>
                <w:szCs w:val="19"/>
              </w:rPr>
              <w:t xml:space="preserve">compile + TF32</w:t>
            </w:r>
          </w:p>
        </w:tc>
        <w:tc>
          <w:tcPr>
            <w:tcW w:type="dxa" w:w="2200"/>
          </w:tcPr>
          <w:p>
            <w:r>
              <w:rPr>
                <w:b w:val="false"/>
                <w:bCs w:val="false"/>
                <w:sz w:val="19"/>
                <w:szCs w:val="19"/>
              </w:rPr>
              <w:t xml:space="preserve">394.0</w:t>
            </w:r>
          </w:p>
        </w:tc>
        <w:tc>
          <w:tcPr>
            <w:tcW w:type="dxa" w:w="2400"/>
          </w:tcPr>
          <w:p>
            <w:r>
              <w:rPr>
                <w:b w:val="false"/>
                <w:bCs w:val="false"/>
                <w:sz w:val="19"/>
                <w:szCs w:val="19"/>
              </w:rPr>
              <w:t xml:space="preserve">5.82x</w:t>
            </w:r>
          </w:p>
        </w:tc>
        <w:tc>
          <w:tcPr>
            <w:tcW w:type="dxa" w:w="2200"/>
          </w:tcPr>
          <w:p>
            <w:r>
              <w:rPr>
                <w:b w:val="false"/>
                <w:bCs w:val="false"/>
                <w:sz w:val="19"/>
                <w:szCs w:val="19"/>
              </w:rPr>
              <w:t xml:space="preserve">3.2e-3</w:t>
            </w:r>
          </w:p>
        </w:tc>
      </w:tr>
    </w:tbl>
    <w:p>
      <w:pPr>
        <w:spacing w:after="260"/>
      </w:pPr>
      <w:r>
        <w:rPr>
          <w:i/>
          <w:iCs/>
          <w:sz w:val="18"/>
          <w:szCs w:val="18"/>
        </w:rPr>
        <w:t xml:space="preserve">Table 3. Inference-speed optimization attempts, N=1401, batch size 1, correctness-checked against strict fp32 eager. Re-measured with the corrected checkpoint -- essentially identical to the original run, confirming timing/speedup is checkpoint-independent as expected.</w:t>
      </w:r>
    </w:p>
    <w:p>
      <w:pPr>
        <w:spacing w:after="60" w:before="120"/>
        <w:jc w:val="center"/>
      </w:pPr>
      <w:r>
        <w:drawing>
          <wp:inline distT="0" distB="0" distL="0" distR="0">
            <wp:extent cx="457200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943225"/>
                    </a:xfrm>
                    <a:prstGeom prst="rect">
                      <a:avLst/>
                    </a:prstGeom>
                  </pic:spPr>
                </pic:pic>
              </a:graphicData>
            </a:graphic>
          </wp:inline>
        </w:drawing>
      </w:r>
    </w:p>
    <w:p>
      <w:pPr>
        <w:spacing w:after="260"/>
      </w:pPr>
      <w:r>
        <w:rPr>
          <w:i/>
          <w:iCs/>
          <w:sz w:val="18"/>
          <w:szCs w:val="18"/>
        </w:rPr>
        <w:t xml:space="preserve">Figure 3. Same data as Table 3 (re-measured, corrected checkpoint).</w:t>
      </w:r>
    </w:p>
    <w:p>
      <w:pPr>
        <w:spacing w:after="160"/>
      </w:pPr>
      <w:r>
        <w:t xml:space="preserve">TF32 matmul precision (Ampere tensor cores) gives the best result found — 5.82x combined with torch.compile — at a real but small accuracy cost, checked directly rather than assumed.</w:t>
      </w:r>
    </w:p>
    <w:p>
      <w:pPr>
        <w:pStyle w:val="Heading2"/>
        <w:spacing w:after="150" w:before="300"/>
      </w:pPr>
      <w:r>
        <w:t xml:space="preserve">4. Complex-geometry example — one question before we commit training time</w:t>
      </w:r>
    </w:p>
    <w:p>
      <w:pPr>
        <w:spacing w:after="160"/>
      </w:pPr>
      <w:r>
        <w:t xml:space="preserve">Before spending real GPU-hours training a new checkpoint, we designed and verified a candidate with real, direct evidence rather than a hunch: extending our existing pressure-vessel-like ring case with a single smooth local notch (a Gaussian dimple) in the inner wall — still simply connected, no topology change, reusing our existing solver machinery.</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000"/>
      </w:tblGrid>
      <w:tr>
        <w:tc>
          <w:tcPr>
            <w:tcW w:type="dxa" w:w="3200"/>
            <w:shd w:fill="DDDDDD" w:val="clear"/>
          </w:tcPr>
          <w:p>
            <w:r>
              <w:rPr>
                <w:b/>
                <w:bCs/>
                <w:sz w:val="19"/>
                <w:szCs w:val="19"/>
              </w:rPr>
              <w:t xml:space="preserve">Mesh resolution (elements)</w:t>
            </w:r>
          </w:p>
        </w:tc>
        <w:tc>
          <w:tcPr>
            <w:tcW w:type="dxa" w:w="3200"/>
            <w:shd w:fill="DDDDDD" w:val="clear"/>
          </w:tcPr>
          <w:p>
            <w:r>
              <w:rPr>
                <w:b/>
                <w:bCs/>
                <w:sz w:val="19"/>
                <w:szCs w:val="19"/>
              </w:rPr>
              <w:t xml:space="preserve">Peak PK1 stress at notch</w:t>
            </w:r>
          </w:p>
        </w:tc>
        <w:tc>
          <w:tcPr>
            <w:tcW w:type="dxa" w:w="3000"/>
            <w:shd w:fill="DDDDDD" w:val="clear"/>
          </w:tcPr>
          <w:p>
            <w:r>
              <w:rPr>
                <w:b/>
                <w:bCs/>
                <w:sz w:val="19"/>
                <w:szCs w:val="19"/>
              </w:rPr>
              <w:t xml:space="preserve">Max displacement</w:t>
            </w:r>
          </w:p>
        </w:tc>
      </w:tr>
      <w:tr>
        <w:tc>
          <w:tcPr>
            <w:tcW w:type="dxa" w:w="3200"/>
          </w:tcPr>
          <w:p>
            <w:r>
              <w:rPr>
                <w:b w:val="false"/>
                <w:bCs w:val="false"/>
                <w:sz w:val="19"/>
                <w:szCs w:val="19"/>
              </w:rPr>
              <w:t xml:space="preserve">72</w:t>
            </w:r>
          </w:p>
        </w:tc>
        <w:tc>
          <w:tcPr>
            <w:tcW w:type="dxa" w:w="3200"/>
          </w:tcPr>
          <w:p>
            <w:r>
              <w:rPr>
                <w:b w:val="false"/>
                <w:bCs w:val="false"/>
                <w:sz w:val="19"/>
                <w:szCs w:val="19"/>
              </w:rPr>
              <w:t xml:space="preserve">11.70</w:t>
            </w:r>
          </w:p>
        </w:tc>
        <w:tc>
          <w:tcPr>
            <w:tcW w:type="dxa" w:w="3000"/>
          </w:tcPr>
          <w:p>
            <w:r>
              <w:rPr>
                <w:b w:val="false"/>
                <w:bCs w:val="false"/>
                <w:sz w:val="19"/>
                <w:szCs w:val="19"/>
              </w:rPr>
              <w:t xml:space="preserve">0.008193</w:t>
            </w:r>
          </w:p>
        </w:tc>
      </w:tr>
      <w:tr>
        <w:tc>
          <w:tcPr>
            <w:tcW w:type="dxa" w:w="3200"/>
          </w:tcPr>
          <w:p>
            <w:r>
              <w:rPr>
                <w:b w:val="false"/>
                <w:bCs w:val="false"/>
                <w:sz w:val="19"/>
                <w:szCs w:val="19"/>
              </w:rPr>
              <w:t xml:space="preserve">288</w:t>
            </w:r>
          </w:p>
        </w:tc>
        <w:tc>
          <w:tcPr>
            <w:tcW w:type="dxa" w:w="3200"/>
          </w:tcPr>
          <w:p>
            <w:r>
              <w:rPr>
                <w:b w:val="false"/>
                <w:bCs w:val="false"/>
                <w:sz w:val="19"/>
                <w:szCs w:val="19"/>
              </w:rPr>
              <w:t xml:space="preserve">12.72</w:t>
            </w:r>
          </w:p>
        </w:tc>
        <w:tc>
          <w:tcPr>
            <w:tcW w:type="dxa" w:w="3000"/>
          </w:tcPr>
          <w:p>
            <w:r>
              <w:rPr>
                <w:b w:val="false"/>
                <w:bCs w:val="false"/>
                <w:sz w:val="19"/>
                <w:szCs w:val="19"/>
              </w:rPr>
              <w:t xml:space="preserve">0.008384</w:t>
            </w:r>
          </w:p>
        </w:tc>
      </w:tr>
      <w:tr>
        <w:tc>
          <w:tcPr>
            <w:tcW w:type="dxa" w:w="3200"/>
          </w:tcPr>
          <w:p>
            <w:r>
              <w:rPr>
                <w:b w:val="false"/>
                <w:bCs w:val="false"/>
                <w:sz w:val="19"/>
                <w:szCs w:val="19"/>
              </w:rPr>
              <w:t xml:space="preserve">1,152</w:t>
            </w:r>
          </w:p>
        </w:tc>
        <w:tc>
          <w:tcPr>
            <w:tcW w:type="dxa" w:w="3200"/>
          </w:tcPr>
          <w:p>
            <w:r>
              <w:rPr>
                <w:b w:val="false"/>
                <w:bCs w:val="false"/>
                <w:sz w:val="19"/>
                <w:szCs w:val="19"/>
              </w:rPr>
              <w:t xml:space="preserve">13.45</w:t>
            </w:r>
          </w:p>
        </w:tc>
        <w:tc>
          <w:tcPr>
            <w:tcW w:type="dxa" w:w="3000"/>
          </w:tcPr>
          <w:p>
            <w:r>
              <w:rPr>
                <w:b w:val="false"/>
                <w:bCs w:val="false"/>
                <w:sz w:val="19"/>
                <w:szCs w:val="19"/>
              </w:rPr>
              <w:t xml:space="preserve">0.008455</w:t>
            </w:r>
          </w:p>
        </w:tc>
      </w:tr>
      <w:tr>
        <w:tc>
          <w:tcPr>
            <w:tcW w:type="dxa" w:w="3200"/>
          </w:tcPr>
          <w:p>
            <w:r>
              <w:rPr>
                <w:b w:val="false"/>
                <w:bCs w:val="false"/>
                <w:sz w:val="19"/>
                <w:szCs w:val="19"/>
              </w:rPr>
              <w:t xml:space="preserve">4,608</w:t>
            </w:r>
          </w:p>
        </w:tc>
        <w:tc>
          <w:tcPr>
            <w:tcW w:type="dxa" w:w="3200"/>
          </w:tcPr>
          <w:p>
            <w:r>
              <w:rPr>
                <w:b w:val="false"/>
                <w:bCs w:val="false"/>
                <w:sz w:val="19"/>
                <w:szCs w:val="19"/>
              </w:rPr>
              <w:t xml:space="preserve">13.94 (+3.7%, still rising)</w:t>
            </w:r>
          </w:p>
        </w:tc>
        <w:tc>
          <w:tcPr>
            <w:tcW w:type="dxa" w:w="3000"/>
          </w:tcPr>
          <w:p>
            <w:r>
              <w:rPr>
                <w:b w:val="false"/>
                <w:bCs w:val="false"/>
                <w:sz w:val="19"/>
                <w:szCs w:val="19"/>
              </w:rPr>
              <w:t xml:space="preserve">0.008478 (+0.27%, essentially flat)</w:t>
            </w:r>
          </w:p>
        </w:tc>
      </w:tr>
    </w:tbl>
    <w:p>
      <w:pPr>
        <w:spacing w:after="260"/>
      </w:pPr>
      <w:r>
        <w:rPr>
          <w:i/>
          <w:iCs/>
          <w:sz w:val="18"/>
          <w:szCs w:val="18"/>
        </w:rPr>
        <w:t xml:space="preserve">Table 4. B7 (ring + local notch) mesh-convergence check: peak stress vs. global displacement.</w:t>
      </w:r>
    </w:p>
    <w:p>
      <w:pPr>
        <w:spacing w:after="160"/>
      </w:pPr>
      <w:r>
        <w:t xml:space="preserve">The peak stress at the notch is still rising while the global displacement field is essentially flat — the specific signature you described of a globally-converged field hiding an under-resolved local quantity.</w:t>
      </w:r>
    </w:p>
    <w:p>
      <w:pPr>
        <w:spacing w:after="160"/>
      </w:pPr>
      <w:r>
        <w:t xml:space="preserve">Before training a full model on this, we wanted to check with you directly: does this count as an acceptable instance of your "pressure vessel with local details" suggestion, or would you prefer we pursue a different example instead?</w:t>
      </w:r>
    </w:p>
    <w:p>
      <w:pPr>
        <w:pStyle w:val="Heading2"/>
        <w:spacing w:after="150" w:before="300"/>
      </w:pPr>
      <w:r>
        <w:t xml:space="preserve">5. Break-even analysis</w:t>
      </w:r>
    </w:p>
    <w:p>
      <w:pPr>
        <w:spacing w:after="160"/>
      </w:pPr>
      <w:r>
        <w:t xml:space="preserve">Planned as the direct follow-on once item 1's numbers are finalized (after the retraining check mentioned above) — an update here would be premature before that.</w:t>
      </w:r>
    </w:p>
    <w:p>
      <w:pPr>
        <w:spacing w:after="160"/>
      </w:pPr>
      <w:r>
        <w:t xml:space="preserve"/>
      </w:r>
    </w:p>
    <w:p>
      <w:pPr>
        <w:spacing w:after="160"/>
      </w:pPr>
      <w:r>
        <w:t xml:space="preserve">Let me know if the framing above looks right, particularly on point 1's stress-singularity caveat and on point 4.</w:t>
      </w:r>
    </w:p>
    <w:p>
      <w:pPr>
        <w:spacing w:after="160"/>
      </w:pPr>
      <w:r>
        <w:t xml:space="preserve"/>
      </w:r>
    </w:p>
    <w:p>
      <w:pPr>
        <w:spacing w:after="160"/>
      </w:pPr>
      <w:r>
        <w:t xml:space="preserve">Best regards,</w:t>
      </w:r>
    </w:p>
    <w:p>
      <w:pPr>
        <w:spacing w:after="160"/>
      </w:pPr>
      <w:r>
        <w:t xml:space="preserve">Omar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9784de2e6cbaa8f16b18cef270cfcbf7bada2b2.png"/><Relationship Id="rId8" Type="http://schemas.openxmlformats.org/officeDocument/2006/relationships/image" Target="media/d353507cc86f97f240553012eccc1995e019eeb2.png"/><Relationship Id="rId9" Type="http://schemas.openxmlformats.org/officeDocument/2006/relationships/image" Target="media/a78090b7c393c84554c87229e77e35acb605dc4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2026-09-14T00:08:45.364Z</dcterms:created>
  <dcterms:modified xsi:type="dcterms:W3CDTF">2026-09-14T00:08:45.384Z</dcterms:modified>
</cp:coreProperties>
</file>

<file path=docProps/custom.xml><?xml version="1.0" encoding="utf-8"?>
<Properties xmlns="http://schemas.openxmlformats.org/officeDocument/2006/custom-properties" xmlns:vt="http://schemas.openxmlformats.org/officeDocument/2006/docPropsVTypes"/>
</file>