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FEM wall-clock time at every resolution is already reported in 11.2's table; per-resolution GPU memory is not yet available -- peak-memory tracking (peak allocated and peak reserved, via torch.cuda's own peak-memory-stats API) has been added to the mesh-convergence code, but the ladder has not yet been re-run with it, so no GPU memory numbers are reported in this document yet. This will be added once that run completes.</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After the FEM time/memory table is complete and the sampling ranges above are set, the remaining numerical steps are dataset generation, operator training, and the FEM-versus-operator comparison on displacement, reaction, energy, and regional Cauchy-stress QoIs, exactly as done for B1 and B2 -- none of this is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