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One case remains open as of this writing and is not included in the tables above: B2 x Neo-Hookean's own multi-resolution retrain was still mid-training (most recently observed at epoch 575 of a 2000-epoch cap, validation error still improving, no sign of a plateau yet). It will be added to this section once complete, rather than reported early from an unfinished run.</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18-R10i. Summary across every completed multi-resolution retrain case: disp_rel_L2 at the target resolution N=1401, old vs. new checkpoint. "Relative reduction" is (old - new) / old. B2 x Neo-Hookean and the direct-N1401 ablation are omitted here for the reason given just above, not because they were measured and found unfavourable.</w:t>
      </w:r>
    </w:p>
    <w:p>
      <w:pPr>
        <w:jc w:val="center"/>
      </w:pPr>
      <w:r>
        <w:drawing>
          <wp:inline xmlns:a="http://schemas.openxmlformats.org/drawingml/2006/main" xmlns:pic="http://schemas.openxmlformats.org/drawingml/2006/picture">
            <wp:extent cx="5486400" cy="3097658"/>
            <wp:docPr id="551" name="Picture 551"/>
            <wp:cNvGraphicFramePr>
              <a:graphicFrameLocks noChangeAspect="1"/>
            </wp:cNvGraphicFramePr>
            <a:graphic>
              <a:graphicData uri="http://schemas.openxmlformats.org/drawingml/2006/picture">
                <pic:pic>
                  <pic:nvPicPr>
                    <pic:cNvPr id="0" name="fig_multires_retrain_summary.png"/>
                    <pic:cNvPicPr/>
                  </pic:nvPicPr>
                  <pic:blipFill>
                    <a:blip r:embed="rId60"/>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r>
        <w:t>The advisor's round-11 feedback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operator's own default eager fp32 forward pass at N=1401 against torch-fem's own real GPU solve time at the SAME N=1401, for all six (geometry, material)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 (eager fp32)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At this matched resolution the operator wins by 57x-89x even in its default, unoptimized deployment mode -- markedly more favourable than the accuracy-matched comparison above (Table 18-R10e), where the same default mode does not break even at all and the operator's economic case instead rests on the torch.compile+TF32 optimization from point 3. "Break-even (samples)" is only reported where that case's own retrained-checkpoint training wall-clock is known; for the three cases marked "training cost unknown" only the per-sample speedup is available, since those checkpoints predate this project's own training-time logging. All four non-Arruda-Boyce numbers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Task #22 also asked for the peak-stress QoI (fixed physical location, converged from a fine reference -- the same convention as B1xNeo-Hookean's own peak-stress discussion above) at N=1401 for the remaining five cases. Table 18-R10k. A checkpoint-version caveat applies to three of the five rows: B1xMooney-Rivlin, B1xArruda-Boyce and B2xMooney-Rivlin were measured here against their ORIGINAL (pre-retrain) checkpoints -- their disp_rel_L2 values match exactly the "OLD" column already published in Tables 18-R10f/g/h -- so the peak-stress numbers below have not been recomputed against this week's own newly retrained checkpoints for those three cases. B2xNeo-Hookean (its own first multi-res retrain still mid-training) and B2xArruda-Boyce (no retrain planned) have only ever had one checkpoint each, so no such caveat applies to those two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