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One case remains open as of this writing and is not included in the tables above: B2 x Neo-Hookean's own multi-resolution retrain was still mid-training (most recently observed at epoch 575 of a 2000-epoch cap, validation error still improving, no sign of a plateau yet). It will be added to this section once complete, rather than reported early from an unfinished run.</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18-R10i. Summary across every completed multi-resolution retrain case: disp_rel_L2 at the target resolution N=1401, old vs. new checkpoint. "Relative reduction" is (old - new) / old. B2 x Neo-Hookean and the direct-N1401 ablation are omitted here for the reason given just above, not because they were measured and found unfavourable.</w:t>
      </w:r>
    </w:p>
    <w:p>
      <w:pPr>
        <w:jc w:val="center"/>
      </w:pPr>
      <w:r>
        <w:drawing>
          <wp:inline xmlns:a="http://schemas.openxmlformats.org/drawingml/2006/main" xmlns:pic="http://schemas.openxmlformats.org/drawingml/2006/picture">
            <wp:extent cx="5486400" cy="3097658"/>
            <wp:docPr id="551" name="Picture 551"/>
            <wp:cNvGraphicFramePr>
              <a:graphicFrameLocks noChangeAspect="1"/>
            </wp:cNvGraphicFramePr>
            <a:graphic>
              <a:graphicData uri="http://schemas.openxmlformats.org/drawingml/2006/picture">
                <pic:pic>
                  <pic:nvPicPr>
                    <pic:cNvPr id="0" name="fig_multires_retrain_summary.png"/>
                    <pic:cNvPicPr/>
                  </pic:nvPicPr>
                  <pic:blipFill>
                    <a:blip r:embed="rId60"/>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All four non-Arruda-Boyce numbers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2" name="Picture 552"/>
            <wp:cNvGraphicFramePr>
              <a:graphicFrameLocks noChangeAspect="1"/>
            </wp:cNvGraphicFramePr>
            <a:graphic>
              <a:graphicData uri="http://schemas.openxmlformats.org/drawingml/2006/picture">
                <pic:pic>
                  <pic:nvPicPr>
                    <pic:cNvPr id="0" name="fig_resolution_matched_breakeven.png"/>
                    <pic:cNvPicPr/>
                  </pic:nvPicPr>
                  <pic:blipFill>
                    <a:blip r:embed="rId61"/>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Task #22 also asked for the peak-stress QoI (fixed physical location, converged from a fine reference -- the same convention as B1xNeo-Hookean's own peak-stress discussion above) at N=1401 for the remaining five cases. Table 18-R10k. A checkpoint-version caveat applies to three of the five rows: B1xMooney-Rivlin, B1xArruda-Boyce and B2xMooney-Rivlin were measured here against their ORIGINAL (pre-retrain) checkpoints -- their disp_rel_L2 values match exactly the "OLD" column already published in Tables 18-R10f/g/h -- so the peak-stress numbers below have not been recomputed against this week's own newly retrained checkpoints for those three cases. B2xNeo-Hookean (its own first multi-res retrain still mid-training) and B2xArruda-Boyce (no retrain planned) have only ever had one checkpoint each, so no such caveat applies to those two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