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(in progress): 3D Hyperelastic Rubber-Mount Bushing vs. Tire Sector</w:t>
      </w:r>
    </w:p>
    <w:p>
      <w:r>
        <w:rPr>
          <w:i w:val="0"/>
        </w:rPr>
        <w:t>Item 4 of the previous round requested a new, harder, more realistic 3D example beyond the B1/B2 benchmark pair. Two candidates were prepared in parallel, to the same single-material (Neo-Hookean), no-contact scope, so that a choice can be made between them before any expensive commitment: (A) a rocking elastomeric rubber-mount bushing ("B3"), developed to a validated FEM mesh-convergence stage with a GPU mesh-convergence study; and (B) a tire sector -- a torus segment, not a straight extrusion -- prepared as a deliberately lightweight preliminary alternative (geometry, boundary conditions, a solve, and a basic convergence check only, not yet brought to the same validated mesh-convergence stage as B3). Dataset generation and neural-operator training have not started for either candidate; that step depends on this choice.</w:t>
      </w:r>
    </w:p>
    <w:p>
      <w:pPr>
        <w:pStyle w:val="Heading2"/>
      </w:pPr>
      <w:r>
        <w:t>11.1 Geometry refinement and design history</w:t>
      </w:r>
    </w:p>
    <w:p>
      <w:r>
        <w:rPr>
          <w:i w:val="0"/>
        </w:rPr>
        <w:t>B3's geometry went through two substantive revisions before reaching its current form, both identified through detailed review of the design.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fine reference, via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the resultant (Euclidean norm) of the reaction force vector (secondary, confirmed non-degenerate from real data, not assumed); and a fixed-region statistic on the sigma_xx component of the Cauchy stress tensor at the groove -- a volume-weighted regional average of sigma_xx and a regional 99th percentile of sigma_xx -- plus a separate full Cauchy-TENSOR relative field error over all stress components (see 11.2.1 for its own corrected methodology), with a reliability gate that reports the sigma_xx 99th percentile as "not reliable" below 20 quadrature-point samples rather than a misleading number from too few points.</w:t>
      </w:r>
    </w:p>
    <w:p>
      <w:r>
        <w:rPr>
          <w:i w:val="0"/>
        </w:rPr>
        <w:t>A GPU run (A100) solved two fine references to check whether the hardest QoI -- the fixed-region sigma_xx statistic -- had actually converged, not merely reached the largest mesh tried: 243,360 elements (81 x 40 x 79) and a new, finer 424,128-element mesh (97 x 48 x 95). The volume-weighted regional average of sigma_xx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resultant (Euclidean norm,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Regional average of sigma_xx (volume-weighted)</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Regional 99th percentile of sigma_xx (volume-weighted)</w:t>
            </w:r>
          </w:p>
        </w:tc>
        <w:tc>
          <w:tcPr>
            <w:tcW w:type="dxa" w:w="2340"/>
          </w:tcPr>
          <w:p>
            <w:r>
              <w:t>not reached</w:t>
            </w:r>
          </w:p>
        </w:tc>
        <w:tc>
          <w:tcPr>
            <w:tcW w:type="dxa" w:w="2340"/>
          </w:tcPr>
          <w:p>
            <w:r>
              <w:t>not reached</w:t>
            </w:r>
          </w:p>
        </w:tc>
        <w:tc>
          <w:tcPr>
            <w:tcW w:type="dxa" w:w="2340"/>
          </w:tcPr>
          <w:p>
            <w:r>
              <w:t>not reached</w:t>
            </w:r>
          </w:p>
        </w:tc>
      </w:tr>
      <w:tr>
        <w:tc>
          <w:tcPr>
            <w:tcW w:type="dxa" w:w="2340"/>
          </w:tcPr>
          <w:p>
            <w:r>
              <w:t>Cauchy-stress tensor field error (all components)</w:t>
            </w:r>
          </w:p>
        </w:tc>
        <w:tc>
          <w:tcPr>
            <w:tcW w:type="dxa" w:w="2340"/>
          </w:tcPr>
          <w:p>
            <w:r>
              <w:t>38,808 el.</w:t>
            </w:r>
          </w:p>
        </w:tc>
        <w:tc>
          <w:tcPr>
            <w:tcW w:type="dxa" w:w="2340"/>
          </w:tcPr>
          <w:p>
            <w:r>
              <w:t>123,008 el.</w:t>
            </w:r>
          </w:p>
        </w:tc>
        <w:tc>
          <w:tcPr>
            <w:tcW w:type="dxa" w:w="2340"/>
          </w:tcPr>
          <w:p>
            <w:r>
              <w:t>not reached by any non-reference mesh in the tested ladder (123,008 elements gives 1.51%); the two fine references differ by only 0.662%, supporting convergence of the reference itself (see 11.2.1 for the methodology correction that produced this cleanly converging result)</w:t>
            </w:r>
          </w:p>
        </w:tc>
      </w:tr>
    </w:tbl>
    <w:p>
      <w:r>
        <w:rPr>
          <w:i/>
        </w:rPr>
        <w:t>Displacement, energy, and reaction moment all converge cleanly and smoothly, which is reassuring evidence the model, mesh, and boundary conditions are correct rather than merely not visibly broken. The H1 semi-norm and the reaction-force resultant do not reach 1% within the tested range -- a disclosed limitation,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now been confirmed on real GPU data, not just at CPU scale. Re-running the same A100 reference pair (243,360 vs. 424,128 elements) with the corrected, symmetric comparison gives a full Cauchy-tensor field error of 0.662% between the two references -- and the WHOLE resolution ladder now converges cleanly and monotonically against the finer reference: 28.442% (600 elements), 15.130% (3,240), 8.609% (9,464), 5.567% (20,808), 3.762% (38,808), 2.599% (65,000), 1.510% (123,008), down to 0.662% between the two references -- essentially the same well-behaved shape as the regional sigma_xx average (11.2 above), and a world away from the earlier ~17.3% plateau. This QoI is no longer provisional: the required-resolution table above now reports real 5%/2% thresholds for it, with 1% not yet reached by any single non-reference mesh but well-supported by the reference's own 0.662% stability, exactly mirroring how the regional sigma_xx average's own 1% row is read.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 distributed outward pressure preload, applied over the entire outer boundary of the meridian cross-section (every node with r_local = R_tread_eff(theta) across the full theta range, i.e. every node not bonded to the bead). The meridian cross-section here is a SOLID volume from the bead to the tread surface, not a hollow shell with an internal cavity, so this preload is a boundary condition on the outer surface rather than a literal internal inflation pressure -- the term "inflation pressure" used in an earlier draft has been corrected accordingly. A second, additional, localized inward pressure is superposed within a window at the tread centerline (renamed from an earlier, inaccurate "contact patch" -- there is no ground-contact formulation here, no contact mechanics, no rigid ground surface). A solve smoke test confirms the rim stays exactly fixed, the rest of the tread bulges outward under the distributed preload alone as expected, the loaded window still moves net inward (the local load dominates the preload there), and the deformation is non-degenerate in all three directions, confirming the torus topology is genuinely three-dimensional.</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effects were identified and handled explicitly rather than reported without qualification: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physical rocking moment. The combined net reaction force (the distributed preload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validated, documented state -- B3 with a GPU-confirmed mesh-convergence study and a full required-resolution table; the tire sector as a working, but deliberately lightweight preliminary alternative. No dataset generation or neural-operator training has started for either candidate; that step depends on the choice made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