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PFEM / Transolver Work Summary -- Round 14</w:t>
      </w:r>
    </w:p>
    <w:p>
      <w:r>
        <w:rPr>
          <w:i/>
        </w:rPr>
        <w:t>This round covers item 4 of the previous round (design and build a new, harder, more realistic 3D example). Two candidates were prepared in parallel: a rocking rubber-mount bushing (B3), developed to a validated FEM mesh-convergence stage with a GPU-confirmed result, and a tire sector, prepared as a lightweight preliminary alternative. As with previous rounds, everything below is copied verbatim (same tables, same text) out of the now-updated cumulative Report (PFEM_Transolver_Report_2026-09-21f.docx) -- nothing summarized or re-derived. Dataset generation and neural-operator training have not started for either candidate; that step depends on the choice made between them.</w:t>
      </w:r>
    </w:p>
    <w:p>
      <w:pPr>
        <w:pStyle w:val="Heading1"/>
      </w:pPr>
      <w:r>
        <w:t>11. Third Benchmark Candidate (in progress): 3D Hyperelastic Rubber-Mount Bushing vs. Tire Sector</w:t>
      </w:r>
    </w:p>
    <w:p>
      <w:r>
        <w:rPr>
          <w:i w:val="0"/>
        </w:rPr>
        <w:t>Item 4 of the previous round requested a new, harder, more realistic 3D example beyond the B1/B2 benchmark pair. Two candidates were prepared in parallel, to the same single-material (Neo-Hookean), no-contact scope, so that a choice can be made between them before any expensive commitment: (A) a rocking elastomeric rubber-mount bushing ("B3"), developed to a validated FEM mesh-convergence stage with a GPU mesh-convergence study; and (B) a tire sector -- a torus segment, not a straight extrusion -- prepared as a deliberately lightweight preliminary alternative (geometry, boundary conditions, a solve, and a basic convergence check only, not yet brought to the same validated mesh-convergence stage as B3). Dataset generation and neural-operator training have not started for either candidate; that step depends on this choice.</w:t>
      </w:r>
    </w:p>
    <w:p>
      <w:pPr>
        <w:pStyle w:val="Heading2"/>
      </w:pPr>
      <w:r>
        <w:t>11.1 Geometry refinement and design history</w:t>
      </w:r>
    </w:p>
    <w:p>
      <w:r>
        <w:rPr>
          <w:i w:val="0"/>
        </w:rPr>
        <w:t>B3's geometry went through two substantive revisions before reaching its current form, both identified through detailed review of the design. The first draft was a thin plate with a circular hole under uniaxial tension -- rejected as both the wrong shape category (not the "rubber mount" character requested)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at the edge of the fillet band,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with a closed-form radius of curvature of 0.0912 in the same nondimensional length units used throughout this benchmark (R_in0=0.5, R_out=1.0, Lz=1.0 -- consistent with this project's own dimensionless geometry/material convention already used for B1/B2, not tied to a specific physical unit). The core's prescribed motion is a true rigid-body rotation (coupled u_x and u_z), not a linear small-angle approximation, which was verified to silently assume zero axial displacement -- wrong for a real tilt.</w:t>
      </w:r>
    </w:p>
    <w:p>
      <w:pPr>
        <w:pStyle w:val="Heading2"/>
      </w:pPr>
      <w:r>
        <w:t>11.2 Candidate A: the B3 rubber-mount bushing -- GPU-confirmed mesh convergence</w:t>
      </w:r>
    </w:p>
    <w:p>
      <w:r>
        <w:rPr>
          <w:i w:val="0"/>
        </w:rPr>
        <w:t>Full QoI set tracked at every resolution: displacement L2 and an H1-like gradient semi-norm (both against a fine reference, via interpolation in the mesh's own shared parametric coordinate space, exact for node fields); total hyperelastic strain energy (a scalar total -- explicitly NOT the same, more rigorous tangent-energy-norm metric B1/B2 use, see the correction below); reaction moment about the rotation axis (the PRIMARY reaction QoI for this rocking case) and the resultant (Euclidean norm) of the reaction force vector (secondary, confirmed non-degenerate from real data, not assumed); and a fixed-region statistic on the sigma_xx component of the Cauchy stress tensor at the groove -- a volume-weighted regional average of sigma_xx and a regional 99th percentile of sigma_xx -- plus a separate full Cauchy-TENSOR relative field error over all stress components (see 11.2.1 for its own corrected methodology), with a reliability gate that reports the sigma_xx 99th percentile as "not reliable" below 20 quadrature-point samples rather than a misleading number from too few points.</w:t>
      </w:r>
    </w:p>
    <w:p>
      <w:r>
        <w:rPr>
          <w:i w:val="0"/>
        </w:rPr>
        <w:t>A GPU run (A100) solved two fine references to check whether the hardest QoI -- the fixed-region sigma_xx statistic -- had actually converged, not merely reached the largest mesh tried: 243,360 elements (81 x 40 x 79) and a new, finer 424,128-element mesh (97 x 48 x 95). The volume-weighted regional average of sigma_xx changed by only 0.506% between these two references -- down from 0.87% at the previous step, and within the predefined approximately 0.5-0.7% reference-convergence band -- supporting that this statistic's reference value is itself converged. This is a distinct claim from any operational mesh reaching 1% error against that reference: the highest non-reference mesh in the tested ladder (123,008 elements) still shows 1.28% error, so 1% is not yet reached by any mesh actually tested, only supported as a reasonable target by the reference's own demonstrated stability. The required-resolution table below is computed against the newer, finer reference.</w:t>
      </w:r>
    </w:p>
    <w:tbl>
      <w:tblPr>
        <w:tblW w:type="auto" w:w="0"/>
        <w:tblLook w:firstColumn="1" w:firstRow="1" w:lastColumn="0" w:lastRow="0" w:noHBand="0" w:noVBand="1" w:val="04A0"/>
      </w:tblPr>
      <w:tblGrid>
        <w:gridCol w:w="2340"/>
        <w:gridCol w:w="2340"/>
        <w:gridCol w:w="2340"/>
        <w:gridCol w:w="2340"/>
      </w:tblGrid>
      <w:tr>
        <w:tc>
          <w:tcPr>
            <w:tcW w:type="dxa" w:w="2340"/>
          </w:tcPr>
          <w:p>
            <w:r>
              <w:rPr>
                <w:b/>
              </w:rPr>
              <w:t>QoI</w:t>
            </w:r>
          </w:p>
        </w:tc>
        <w:tc>
          <w:tcPr>
            <w:tcW w:type="dxa" w:w="2340"/>
          </w:tcPr>
          <w:p>
            <w:r>
              <w:rPr>
                <w:b/>
              </w:rPr>
              <w:t>5% threshold</w:t>
            </w:r>
          </w:p>
        </w:tc>
        <w:tc>
          <w:tcPr>
            <w:tcW w:type="dxa" w:w="2340"/>
          </w:tcPr>
          <w:p>
            <w:r>
              <w:rPr>
                <w:b/>
              </w:rPr>
              <w:t>2% threshold</w:t>
            </w:r>
          </w:p>
        </w:tc>
        <w:tc>
          <w:tcPr>
            <w:tcW w:type="dxa" w:w="2340"/>
          </w:tcPr>
          <w:p>
            <w:r>
              <w:rPr>
                <w:b/>
              </w:rPr>
              <w:t>1% threshold</w:t>
            </w:r>
          </w:p>
        </w:tc>
      </w:tr>
      <w:tr>
        <w:tc>
          <w:tcPr>
            <w:tcW w:type="dxa" w:w="2340"/>
          </w:tcPr>
          <w:p>
            <w:r>
              <w:t>Displacement L2</w:t>
            </w:r>
          </w:p>
        </w:tc>
        <w:tc>
          <w:tcPr>
            <w:tcW w:type="dxa" w:w="2340"/>
          </w:tcPr>
          <w:p>
            <w:r>
              <w:t>600 el.</w:t>
            </w:r>
          </w:p>
        </w:tc>
        <w:tc>
          <w:tcPr>
            <w:tcW w:type="dxa" w:w="2340"/>
          </w:tcPr>
          <w:p>
            <w:r>
              <w:t>3,240 el.</w:t>
            </w:r>
          </w:p>
        </w:tc>
        <w:tc>
          <w:tcPr>
            <w:tcW w:type="dxa" w:w="2340"/>
          </w:tcPr>
          <w:p>
            <w:r>
              <w:t>20,808 el.</w:t>
            </w:r>
          </w:p>
        </w:tc>
      </w:tr>
      <w:tr>
        <w:tc>
          <w:tcPr>
            <w:tcW w:type="dxa" w:w="2340"/>
          </w:tcPr>
          <w:p>
            <w:r>
              <w:t>H1 (gradient) semi-norm</w:t>
            </w:r>
          </w:p>
        </w:tc>
        <w:tc>
          <w:tcPr>
            <w:tcW w:type="dxa" w:w="2340"/>
          </w:tcPr>
          <w:p>
            <w:r>
              <w:t>38,808 el.</w:t>
            </w:r>
          </w:p>
        </w:tc>
        <w:tc>
          <w:tcPr>
            <w:tcW w:type="dxa" w:w="2340"/>
          </w:tcPr>
          <w:p>
            <w:r>
              <w:t>not reached</w:t>
            </w:r>
          </w:p>
        </w:tc>
        <w:tc>
          <w:tcPr>
            <w:tcW w:type="dxa" w:w="2340"/>
          </w:tcPr>
          <w:p>
            <w:r>
              <w:t>not reached</w:t>
            </w:r>
          </w:p>
        </w:tc>
      </w:tr>
      <w:tr>
        <w:tc>
          <w:tcPr>
            <w:tcW w:type="dxa" w:w="2340"/>
          </w:tcPr>
          <w:p>
            <w:r>
              <w:t>Total strain energy</w:t>
            </w:r>
          </w:p>
        </w:tc>
        <w:tc>
          <w:tcPr>
            <w:tcW w:type="dxa" w:w="2340"/>
          </w:tcPr>
          <w:p>
            <w:r>
              <w:t>600 el.</w:t>
            </w:r>
          </w:p>
        </w:tc>
        <w:tc>
          <w:tcPr>
            <w:tcW w:type="dxa" w:w="2340"/>
          </w:tcPr>
          <w:p>
            <w:r>
              <w:t>600 el.</w:t>
            </w:r>
          </w:p>
        </w:tc>
        <w:tc>
          <w:tcPr>
            <w:tcW w:type="dxa" w:w="2340"/>
          </w:tcPr>
          <w:p>
            <w:r>
              <w:t>3,240 el.</w:t>
            </w:r>
          </w:p>
        </w:tc>
      </w:tr>
      <w:tr>
        <w:tc>
          <w:tcPr>
            <w:tcW w:type="dxa" w:w="2340"/>
          </w:tcPr>
          <w:p>
            <w:r>
              <w:t>Reaction moment (primary)</w:t>
            </w:r>
          </w:p>
        </w:tc>
        <w:tc>
          <w:tcPr>
            <w:tcW w:type="dxa" w:w="2340"/>
          </w:tcPr>
          <w:p>
            <w:r>
              <w:t>3,240 el.</w:t>
            </w:r>
          </w:p>
        </w:tc>
        <w:tc>
          <w:tcPr>
            <w:tcW w:type="dxa" w:w="2340"/>
          </w:tcPr>
          <w:p>
            <w:r>
              <w:t>9,464 el.</w:t>
            </w:r>
          </w:p>
        </w:tc>
        <w:tc>
          <w:tcPr>
            <w:tcW w:type="dxa" w:w="2340"/>
          </w:tcPr>
          <w:p>
            <w:r>
              <w:t>38,808 el.</w:t>
            </w:r>
          </w:p>
        </w:tc>
      </w:tr>
      <w:tr>
        <w:tc>
          <w:tcPr>
            <w:tcW w:type="dxa" w:w="2340"/>
          </w:tcPr>
          <w:p>
            <w:r>
              <w:t>Reaction force resultant (Euclidean norm, secondary)</w:t>
            </w:r>
          </w:p>
        </w:tc>
        <w:tc>
          <w:tcPr>
            <w:tcW w:type="dxa" w:w="2340"/>
          </w:tcPr>
          <w:p>
            <w:r>
              <w:t>65,000 el.</w:t>
            </w:r>
          </w:p>
        </w:tc>
        <w:tc>
          <w:tcPr>
            <w:tcW w:type="dxa" w:w="2340"/>
          </w:tcPr>
          <w:p>
            <w:r>
              <w:t>not reached</w:t>
            </w:r>
          </w:p>
        </w:tc>
        <w:tc>
          <w:tcPr>
            <w:tcW w:type="dxa" w:w="2340"/>
          </w:tcPr>
          <w:p>
            <w:r>
              <w:t>not reached</w:t>
            </w:r>
          </w:p>
        </w:tc>
      </w:tr>
      <w:tr>
        <w:tc>
          <w:tcPr>
            <w:tcW w:type="dxa" w:w="2340"/>
          </w:tcPr>
          <w:p>
            <w:r>
              <w:t>Regional average of sigma_xx (volume-weighted)</w:t>
            </w:r>
          </w:p>
        </w:tc>
        <w:tc>
          <w:tcPr>
            <w:tcW w:type="dxa" w:w="2340"/>
          </w:tcPr>
          <w:p>
            <w:r>
              <w:t>38,808 el.</w:t>
            </w:r>
          </w:p>
        </w:tc>
        <w:tc>
          <w:tcPr>
            <w:tcW w:type="dxa" w:w="2340"/>
          </w:tcPr>
          <w:p>
            <w:r>
              <w:t>123,008 el.</w:t>
            </w:r>
          </w:p>
        </w:tc>
        <w:tc>
          <w:tcPr>
            <w:tcW w:type="dxa" w:w="2340"/>
          </w:tcPr>
          <w:p>
            <w:r>
              <w:t>not reached by any non-reference mesh in the tested ladder (123,008 elements gives 1.28%); the two fine references differ by only 0.506%, supporting convergence of the reference itself</w:t>
            </w:r>
          </w:p>
        </w:tc>
      </w:tr>
      <w:tr>
        <w:tc>
          <w:tcPr>
            <w:tcW w:type="dxa" w:w="2340"/>
          </w:tcPr>
          <w:p>
            <w:r>
              <w:t>Regional 99th percentile of sigma_xx (volume-weighted)</w:t>
            </w:r>
          </w:p>
        </w:tc>
        <w:tc>
          <w:tcPr>
            <w:tcW w:type="dxa" w:w="2340"/>
          </w:tcPr>
          <w:p>
            <w:r>
              <w:t>not reached</w:t>
            </w:r>
          </w:p>
        </w:tc>
        <w:tc>
          <w:tcPr>
            <w:tcW w:type="dxa" w:w="2340"/>
          </w:tcPr>
          <w:p>
            <w:r>
              <w:t>not reached</w:t>
            </w:r>
          </w:p>
        </w:tc>
        <w:tc>
          <w:tcPr>
            <w:tcW w:type="dxa" w:w="2340"/>
          </w:tcPr>
          <w:p>
            <w:r>
              <w:t>not reached</w:t>
            </w:r>
          </w:p>
        </w:tc>
      </w:tr>
      <w:tr>
        <w:tc>
          <w:tcPr>
            <w:tcW w:type="dxa" w:w="2340"/>
          </w:tcPr>
          <w:p>
            <w:r>
              <w:t>Cauchy-stress tensor field error (all components)</w:t>
            </w:r>
          </w:p>
        </w:tc>
        <w:tc>
          <w:tcPr>
            <w:tcW w:type="dxa" w:w="2340"/>
          </w:tcPr>
          <w:p>
            <w:r>
              <w:t>38,808 el.</w:t>
            </w:r>
          </w:p>
        </w:tc>
        <w:tc>
          <w:tcPr>
            <w:tcW w:type="dxa" w:w="2340"/>
          </w:tcPr>
          <w:p>
            <w:r>
              <w:t>123,008 el.</w:t>
            </w:r>
          </w:p>
        </w:tc>
        <w:tc>
          <w:tcPr>
            <w:tcW w:type="dxa" w:w="2340"/>
          </w:tcPr>
          <w:p>
            <w:r>
              <w:t>not reached by any non-reference mesh in the tested ladder (123,008 elements gives 1.51%); the two fine references differ by only 0.662%, supporting convergence of the reference itself (see 11.2.1 for the methodology correction that produced this cleanly converging result)</w:t>
            </w:r>
          </w:p>
        </w:tc>
      </w:tr>
    </w:tbl>
    <w:p>
      <w:r>
        <w:rPr>
          <w:i/>
        </w:rPr>
        <w:t>Displacement, energy, and reaction moment all converge cleanly and smoothly, which is reassuring evidence the model, mesh, and boundary conditions are correct rather than merely not visibly broken. The H1 semi-norm and the reaction-force resultant do not reach 1% within the tested range -- a disclosed limitation, consistent with this project's own repeated finding (already established for B1/B2) that gradient/energy-flux-type quantities converge more slowly than displacement or averaged-stress statistics.</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the two finest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all tested directly against the real solver rather than assumed to work. (1) Moving BOTH sides to raw per-Gauss-point values made the reported error substantially WORSE (a 600-element case moved from 32.97% to 84.08%; a 3,240-element case from 22.80% to 59.51%), traced to a real, checkable cause: within a single coarse element, the stress at its own 8 Gauss points varies by up to 250.9 -- comparable to or larger than the entire mesh's own element-averaged stress range end to end. Raw Gauss-point stresses are generally discontinuous across element boundaries and can be highly mesh-sensitive in regions with steep stress gradients, so comparing raw values on both sides amplified that sensitivity rather than removing it. (2) Shrinking the fixed sampling region (to test whether a smaller zone would avoid spanning as steep a gradient) was tried at half and quarter the original radius: the reported error increased at every step tested (48.78% to 58.04% to 59.73%) rather than improving. A smaller region also means fewer quadrature-point samples available to average over, which may contribute to this, though that was not isolated as the single confirmed cause. Neither (1) nor (2) was adopted.</w:t>
      </w:r>
    </w:p>
    <w:p>
      <w:r>
        <w:rPr>
          <w:i w:val="0"/>
        </w:rPr>
        <w:t>The combination not yet tried at that point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has now been implemented in mesh_convergence_B3.py and tested directly on real CPU data: it shows clean, monotonic convergence with resolution -- 48.5%, 23.3%, 14.3%, and 7.7% for the 144-, 600-, 1,568-, and 3,240-element cases, all against the same 9,464-element reference. This is a real, physically sensible convergence trend, unlike either asymmetric version tried before it, and supports that the earlier ~17.3% plateau was a methodology artifact rather than a genuine physical limit of this QoI.</w:t>
      </w:r>
    </w:p>
    <w:p>
      <w:r>
        <w:rPr>
          <w:i/>
        </w:rPr>
        <w:t>This fix has now been confirmed on real GPU data, not just at CPU scale. Re-running the same A100 reference pair (243,360 vs. 424,128 elements) with the corrected, symmetric comparison gives a full Cauchy-tensor field error of 0.662% between the two references -- and the WHOLE resolution ladder now converges cleanly and monotonically against the finer reference: 28.442% (600 elements), 15.130% (3,240), 8.609% (9,464), 5.567% (20,808), 3.762% (38,808), 2.599% (65,000), 1.510% (123,008), down to 0.662% between the two references -- essentially the same well-behaved shape as the regional sigma_xx average (11.2 above), and a world away from the earlier ~17.3% plateau. This QoI is no longer provisional: the required-resolution table above now reports real 5%/2% thresholds for it, with 1% not yet reached by any single non-reference mesh but well-supported by the reference's own 0.662% stability, exactly mirroring how the regional sigma_xx average's own 1% row is read.</w:t>
      </w:r>
    </w:p>
    <w:p>
      <w:pPr>
        <w:pStyle w:val="Heading2"/>
      </w:pPr>
      <w:r>
        <w:t>11.3 Candidate B: the tire sector -- a lightweight preliminary alternative</w:t>
      </w:r>
    </w:p>
    <w:p>
      <w:r>
        <w:rPr>
          <w:i w:val="0"/>
        </w:rPr>
        <w:t>A genuine torus segment (not a straight extrusion, which would only reproduce B3): the same meridian half-ring cross-section B2/B3 already use is swept through a limited circumferential sector angle around a big wheel axis. The bead is bonded to a fixed rigid rim; the tread carries a smooth (C1, raised-cosine) groove at its own centerline, the same construction as B3's own feature. Two real bugs were found and fixed during development: a parity-flipping axis permutation in the torus-sweep mapping gave every element negative signed volume (fixed by reversing the underlying 2D quad's own node winding); and an inversion of the sweep mapping in the boundary-mask logic swapped which recovered local coordinate was which, making the tread-load selection always come up empty (fixed by re-deriving the inverse mapping directly from the forward one).</w:t>
      </w:r>
    </w:p>
    <w:p>
      <w:r>
        <w:rPr>
          <w:i w:val="0"/>
        </w:rPr>
        <w:t>Loading combines two superposed pressure loads under one incremental ramp: a distributed outward pressure preload, applied over the entire outer boundary of the meridian cross-section (every node with r_local = R_tread_eff(theta) across the full theta range, i.e. every node not bonded to the bead). The meridian cross-section here is a SOLID volume from the bead to the tread surface, not a hollow shell with an internal cavity, so this preload is a boundary condition on the outer surface rather than a literal internal inflation pressure -- the term "inflation pressure" used in an earlier draft has been corrected accordingly. A second, additional, localized inward pressure is superposed within a window at the tread centerline (renamed from an earlier, inaccurate "contact patch" -- there is no ground-contact formulation here, no contact mechanics, no rigid ground surface). A solve smoke test confirms the rim stays exactly fixed, the rest of the tread bulges outward under the distributed preload alone as expected, the loaded window still moves net inward (the local load dominates the preload there), and the deformation is non-degenerate in all three directions, confirming the torus topology is genuinely three-dimensional.</w:t>
      </w:r>
    </w:p>
    <w:p>
      <w:r>
        <w:rPr>
          <w:i w:val="0"/>
        </w:rPr>
        <w:t>A lightweight preliminary convergence check (four resolutions, 96 to 2,880 elements) tracks displacement, total strain energy, and the groove-region stress; both show real, material resolution sensitivity, consistent with this project's own established pattern that local, boundary-window-dependent quantities converge more slowly than global ones. Two disclosed effects were identified and handled explicitly rather than reported without qualification: the reaction moment about the wheel's own spin axis is exactly zero at every resolution, for a genuine geometric reason (every applied load is pressure normal to a surface of revolution about that axis, which cannot produce torque about it) -- reported as a diagnostic only, never as a convergence target, unlike B3's own physical rocking moment. The combined net reaction force (the distributed preload and local load together) swings by roughly 100x with sign changes across resolutions because it is a near-cancellation of two comparable, unrelated load resultants -- confirmed by reconstructing the combined force exactly from the two loads' own isolated resultants -- so the local load's own isolated resultant magnitude is used as the reaction-family QoI instead, and the combined force is kept only for the equilibrium check. The two circumferential sector-cut faces are confirmed genuinely free (not artificially clamped), but are not tied together as a periodic boundary condition -- a disclosed limitation, since implementing a true periodic-tie constraint is nontrivial new solver infrastructure judged out of scope for a lightweight preliminary candidate; the load and stress-sampling region are deliberately centered mid-sector, away from both cuts, to mitigate this. If the tire candidate is selected for the final benchmark, the sector-boundary treatment will be revisited before dataset generation or operator training -- this preliminary version is not proposed as the final tire model.</w:t>
      </w:r>
    </w:p>
    <w:p>
      <w:pPr>
        <w:pStyle w:val="Heading2"/>
      </w:pPr>
      <w:r>
        <w:t>11.4 Status</w:t>
      </w:r>
    </w:p>
    <w:p>
      <w:r>
        <w:rPr>
          <w:i w:val="0"/>
        </w:rPr>
        <w:t>Both candidates are prepared to a validated, documented state -- B3 with a GPU-confirmed mesh-convergence study and a full required-resolution table; the tire sector as a working, but deliberately lightweight preliminary alternative. No dataset generation or neural-operator training has started for either candidate; that step depends on the choice made between them. After the final 3D candidate is selected, the remaining numerical step is dataset generation, operator training, and the FEM-versus-operator comparison on displacement, reaction, energy, and regional Cauchy-stress QoIs, exactly as done for B1 and B2 -- that comparison has not started for either candidate and is not implied to be complete by anything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