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1DA07B" w14:textId="77777777" w:rsidR="00E2719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>МИНОБРНАУКИ РОССИИ</w:t>
      </w:r>
    </w:p>
    <w:p w14:paraId="7DA25F15" w14:textId="77777777" w:rsidR="00E2719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>САНКТ-ПЕТЕРБУРГСКИЙ ГОСУДАРСТВЕННЫЙ</w:t>
      </w:r>
    </w:p>
    <w:p w14:paraId="592695A6" w14:textId="77777777" w:rsidR="00E2719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 xml:space="preserve">ЭЛЕКТРОТЕХНИЧЕСКИЙ УНИВЕРСИТЕТ </w:t>
      </w:r>
    </w:p>
    <w:p w14:paraId="3847E63C" w14:textId="77777777" w:rsidR="00E2719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mallCaps/>
          <w:color w:val="000000"/>
          <w:sz w:val="28"/>
          <w:szCs w:val="28"/>
        </w:rPr>
        <w:t>«ЛЭТИ» ИМ. В.И. УЛЬЯНОВА (ЛЕНИНА)</w:t>
      </w:r>
    </w:p>
    <w:p w14:paraId="395858F9" w14:textId="77777777" w:rsidR="00E2719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Кафедра ИС</w:t>
      </w:r>
    </w:p>
    <w:p w14:paraId="0D5A25BF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66C955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469D84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015B069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B1D95B9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058B24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B788A5" w14:textId="77777777" w:rsidR="00E2719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ОТЧЕТ</w:t>
      </w:r>
    </w:p>
    <w:p w14:paraId="0001EDFF" w14:textId="77777777" w:rsidR="00E2719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по учебной практике</w:t>
      </w:r>
    </w:p>
    <w:p w14:paraId="6514111F" w14:textId="77777777" w:rsidR="00E2719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Тема: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Прогнозирование временных рядов при помощи топологического анализа</w:t>
      </w:r>
    </w:p>
    <w:p w14:paraId="4DE1C906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9E9CF0F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9B95129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6B5C26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2BAF7DE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9C3E63A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B640C19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830EA6F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"/>
        <w:tblW w:w="6604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4166"/>
        <w:gridCol w:w="2438"/>
      </w:tblGrid>
      <w:tr w:rsidR="00E2719B" w14:paraId="46616FB6" w14:textId="77777777">
        <w:trPr>
          <w:trHeight w:val="614"/>
        </w:trPr>
        <w:tc>
          <w:tcPr>
            <w:tcW w:w="4166" w:type="dxa"/>
          </w:tcPr>
          <w:p w14:paraId="479E6583" w14:textId="77777777" w:rsidR="00E2719B" w:rsidRDefault="001B6D91" w:rsidP="00317A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ы</w:t>
            </w:r>
            <w:r>
              <w:rPr>
                <w:rFonts w:ascii="Times New Roman" w:eastAsia="Times New Roman" w:hAnsi="Times New Roman" w:cs="Times New Roman"/>
                <w:color w:val="FF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гр.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4372</w:t>
            </w:r>
          </w:p>
        </w:tc>
        <w:tc>
          <w:tcPr>
            <w:tcW w:w="2438" w:type="dxa"/>
            <w:tcBorders>
              <w:bottom w:val="single" w:sz="4" w:space="0" w:color="000000"/>
            </w:tcBorders>
          </w:tcPr>
          <w:p w14:paraId="22A92D7B" w14:textId="77777777" w:rsidR="00E2719B" w:rsidRDefault="001B6D91" w:rsidP="00317A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Саевич И. И. </w:t>
            </w:r>
          </w:p>
          <w:p w14:paraId="4F4287D2" w14:textId="77777777" w:rsidR="00E2719B" w:rsidRDefault="001B6D91" w:rsidP="00317A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Гейдарбеков Р. Т.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</w:tc>
      </w:tr>
      <w:tr w:rsidR="00E2719B" w14:paraId="46F68788" w14:textId="77777777">
        <w:trPr>
          <w:trHeight w:val="614"/>
        </w:trPr>
        <w:tc>
          <w:tcPr>
            <w:tcW w:w="4166" w:type="dxa"/>
          </w:tcPr>
          <w:p w14:paraId="23076C97" w14:textId="77777777" w:rsidR="00E2719B" w:rsidRDefault="001B6D91" w:rsidP="00317A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2438" w:type="dxa"/>
            <w:tcBorders>
              <w:top w:val="single" w:sz="4" w:space="0" w:color="000000"/>
              <w:bottom w:val="single" w:sz="4" w:space="0" w:color="000000"/>
            </w:tcBorders>
          </w:tcPr>
          <w:p w14:paraId="6EDD9DAA" w14:textId="77777777" w:rsidR="00E2719B" w:rsidRDefault="001B6D91" w:rsidP="00317A7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Васильев Н. В.</w:t>
            </w:r>
          </w:p>
        </w:tc>
      </w:tr>
    </w:tbl>
    <w:p w14:paraId="7ABA4126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62395A" w14:textId="77777777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13F16ED" w14:textId="77777777" w:rsidR="00E2719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</w:p>
    <w:p w14:paraId="3C5F44C9" w14:textId="77777777" w:rsidR="00E2719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</w:t>
      </w:r>
      <w:r>
        <w:rPr>
          <w:rFonts w:ascii="Times New Roman" w:eastAsia="Times New Roman" w:hAnsi="Times New Roman" w:cs="Times New Roman"/>
          <w:sz w:val="28"/>
          <w:szCs w:val="28"/>
        </w:rPr>
        <w:t>6</w:t>
      </w:r>
    </w:p>
    <w:p w14:paraId="2DDE9FD3" w14:textId="77777777" w:rsidR="00E2719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ТЕОРИЯ</w:t>
      </w:r>
    </w:p>
    <w:p w14:paraId="1AD8F949" w14:textId="7C7B1B01" w:rsidR="00DA7560" w:rsidRDefault="00DA7560" w:rsidP="00317A71">
      <w:pPr>
        <w:pStyle w:val="NormalWeb"/>
        <w:spacing w:line="276" w:lineRule="auto"/>
      </w:pPr>
      <w:r>
        <w:rPr>
          <w:rStyle w:val="citation-111"/>
        </w:rPr>
        <w:t xml:space="preserve">Методологической основой данной работы является математический аппарат топологического анализа данных (TDA </w:t>
      </w:r>
      <w:r>
        <w:rPr>
          <w:rStyle w:val="citation-111"/>
        </w:rPr>
        <w:t xml:space="preserve">- </w:t>
      </w:r>
      <w:r>
        <w:rPr>
          <w:rStyle w:val="citation-111"/>
        </w:rPr>
        <w:t>Topological Data Analysis), применяемый для извлечения робастных геометрических инвариантов из многомерных временных рядов</w:t>
      </w:r>
      <w:r>
        <w:t xml:space="preserve">. </w:t>
      </w:r>
    </w:p>
    <w:p w14:paraId="10E02BE1" w14:textId="7D7E5F8B" w:rsidR="00DA7560" w:rsidRDefault="00DA7560" w:rsidP="00317A71">
      <w:pPr>
        <w:pStyle w:val="NormalWeb"/>
        <w:spacing w:line="276" w:lineRule="auto"/>
      </w:pPr>
      <w:r>
        <w:rPr>
          <w:rStyle w:val="citation-110"/>
        </w:rPr>
        <w:t xml:space="preserve">В рамках TDA-анализа исследуемый числовой массив рассматривается как дискретное облако точек в </w:t>
      </w:r>
      <w:r>
        <w:rPr>
          <w:rStyle w:val="math-inline"/>
        </w:rPr>
        <w:t>n</w:t>
      </w:r>
      <w:r>
        <w:rPr>
          <w:rStyle w:val="citation-110"/>
        </w:rPr>
        <w:t>-мерном евклидовом пространстве признаков</w:t>
      </w:r>
      <w:r>
        <w:t xml:space="preserve">. </w:t>
      </w:r>
      <w:r>
        <w:rPr>
          <w:rStyle w:val="citation-109"/>
        </w:rPr>
        <w:t xml:space="preserve">Базовым элементом топологического моделирования выступает симплекс </w:t>
      </w:r>
      <w:r>
        <w:rPr>
          <w:rStyle w:val="citation-109"/>
        </w:rPr>
        <w:t>-</w:t>
      </w:r>
      <w:r>
        <w:rPr>
          <w:rStyle w:val="citation-109"/>
        </w:rPr>
        <w:t xml:space="preserve"> геометрическое обобщение треугольника на произвольные размерности (0-симплекс </w:t>
      </w:r>
      <w:r>
        <w:rPr>
          <w:rStyle w:val="citation-109"/>
        </w:rPr>
        <w:t>-</w:t>
      </w:r>
      <w:r>
        <w:rPr>
          <w:rStyle w:val="citation-109"/>
        </w:rPr>
        <w:t xml:space="preserve"> точка, 1-симплекс </w:t>
      </w:r>
      <w:r>
        <w:rPr>
          <w:rStyle w:val="citation-109"/>
        </w:rPr>
        <w:t>-</w:t>
      </w:r>
      <w:r>
        <w:rPr>
          <w:rStyle w:val="citation-109"/>
        </w:rPr>
        <w:t xml:space="preserve"> отрезок, 2-</w:t>
      </w:r>
      <w:r>
        <w:rPr>
          <w:rStyle w:val="citation-109"/>
        </w:rPr>
        <w:lastRenderedPageBreak/>
        <w:t xml:space="preserve">симплекс </w:t>
      </w:r>
      <w:r>
        <w:rPr>
          <w:rStyle w:val="citation-109"/>
        </w:rPr>
        <w:t>-</w:t>
      </w:r>
      <w:r>
        <w:rPr>
          <w:rStyle w:val="citation-109"/>
        </w:rPr>
        <w:t xml:space="preserve"> треугольник, 3-симплекс </w:t>
      </w:r>
      <w:r>
        <w:rPr>
          <w:rStyle w:val="citation-109"/>
        </w:rPr>
        <w:t>-</w:t>
      </w:r>
      <w:r>
        <w:rPr>
          <w:rStyle w:val="citation-109"/>
        </w:rPr>
        <w:t xml:space="preserve"> тетраэдр)</w:t>
      </w:r>
      <w:r>
        <w:t xml:space="preserve">. </w:t>
      </w:r>
      <w:r>
        <w:rPr>
          <w:rStyle w:val="citation-108"/>
        </w:rPr>
        <w:t>Набор подсимплексов, упорядоченных по граням и не имеющих частичных наложений, образует симплициальный комплекс</w:t>
      </w:r>
      <w:r>
        <w:t xml:space="preserve">. </w:t>
      </w:r>
    </w:p>
    <w:p w14:paraId="03001FB9" w14:textId="004EC612" w:rsidR="00DA7560" w:rsidRDefault="00DA7560" w:rsidP="00317A71">
      <w:pPr>
        <w:pStyle w:val="NormalWeb"/>
        <w:spacing w:line="276" w:lineRule="auto"/>
      </w:pPr>
      <w:r>
        <w:rPr>
          <w:rStyle w:val="citation-107"/>
        </w:rPr>
        <w:t>Процесс структурного анализа реализуется посредством симплициальной фильтрации Виеториса</w:t>
      </w:r>
      <w:r>
        <w:rPr>
          <w:rStyle w:val="citation-107"/>
        </w:rPr>
        <w:t>-</w:t>
      </w:r>
      <w:r>
        <w:rPr>
          <w:rStyle w:val="citation-107"/>
        </w:rPr>
        <w:t>Рипса</w:t>
      </w:r>
      <w:r>
        <w:t xml:space="preserve">. </w:t>
      </w:r>
      <w:r>
        <w:rPr>
          <w:rStyle w:val="citation-106"/>
        </w:rPr>
        <w:t xml:space="preserve">Вокруг каждой точки из исходного множества инициируется рост гиперсфер радиуса </w:t>
      </w:r>
      <w:r>
        <w:rPr>
          <w:rStyle w:val="math-inline"/>
        </w:rPr>
        <w:t>r</w:t>
      </w:r>
      <w:r>
        <w:t xml:space="preserve">. </w:t>
      </w:r>
      <w:r>
        <w:rPr>
          <w:rStyle w:val="citation-105"/>
        </w:rPr>
        <w:t>При взаимном пересечении окрестностей между точками генерируются ребра и грани, что приводит к последовательному усложнению топологической структуры комплекса</w:t>
      </w:r>
      <w:r>
        <w:t xml:space="preserve">. </w:t>
      </w:r>
      <w:r>
        <w:rPr>
          <w:rStyle w:val="citation-104"/>
        </w:rPr>
        <w:t xml:space="preserve">В процессе фильтрации фиксируются моменты зарождения и исчезновения («смерти») топологических особенностей </w:t>
      </w:r>
      <w:r>
        <w:rPr>
          <w:rStyle w:val="citation-104"/>
        </w:rPr>
        <w:t>-</w:t>
      </w:r>
      <w:r>
        <w:rPr>
          <w:rStyle w:val="citation-104"/>
        </w:rPr>
        <w:t xml:space="preserve"> гомологий различных размерностей, где </w:t>
      </w:r>
      <w:r>
        <w:rPr>
          <w:rStyle w:val="math-inline"/>
        </w:rPr>
        <w:t>H</w:t>
      </w:r>
      <w:r w:rsidRPr="00DA7560">
        <w:rPr>
          <w:rStyle w:val="math-inline"/>
          <w:sz w:val="14"/>
          <w:szCs w:val="14"/>
        </w:rPr>
        <w:t>0</w:t>
      </w:r>
      <w:r w:rsidRPr="00DA7560">
        <w:rPr>
          <w:rStyle w:val="citation-104"/>
          <w:sz w:val="16"/>
          <w:szCs w:val="16"/>
        </w:rPr>
        <w:t xml:space="preserve"> </w:t>
      </w:r>
      <w:r>
        <w:rPr>
          <w:rStyle w:val="citation-104"/>
        </w:rPr>
        <w:t xml:space="preserve">характеризует компоненты связности, а </w:t>
      </w:r>
      <w:r>
        <w:rPr>
          <w:rStyle w:val="math-inline"/>
        </w:rPr>
        <w:t>H</w:t>
      </w:r>
      <w:r w:rsidRPr="00DA7560">
        <w:rPr>
          <w:rStyle w:val="math-inline"/>
          <w:sz w:val="14"/>
          <w:szCs w:val="14"/>
        </w:rPr>
        <w:t>1</w:t>
      </w:r>
      <w:r>
        <w:rPr>
          <w:rStyle w:val="citation-104"/>
        </w:rPr>
        <w:t xml:space="preserve"> </w:t>
      </w:r>
      <w:r>
        <w:rPr>
          <w:rStyle w:val="citation-104"/>
        </w:rPr>
        <w:t>-</w:t>
      </w:r>
      <w:r>
        <w:rPr>
          <w:rStyle w:val="citation-104"/>
        </w:rPr>
        <w:t xml:space="preserve"> одномерные циклы (петли)</w:t>
      </w:r>
      <w:r>
        <w:t xml:space="preserve">. </w:t>
      </w:r>
    </w:p>
    <w:p w14:paraId="4C66D07C" w14:textId="4DBE8F9F" w:rsidR="00DA7560" w:rsidRPr="007155DB" w:rsidRDefault="00DA7560" w:rsidP="00317A71">
      <w:pPr>
        <w:pStyle w:val="NormalWeb"/>
        <w:spacing w:line="276" w:lineRule="auto"/>
      </w:pPr>
      <w:r>
        <w:rPr>
          <w:rStyle w:val="citation-103"/>
        </w:rPr>
        <w:t xml:space="preserve">Стабильные, долгоживущие в широком диапазоне радиуса </w:t>
      </w:r>
      <w:r>
        <w:rPr>
          <w:rStyle w:val="math-inline"/>
        </w:rPr>
        <w:t>r</w:t>
      </w:r>
      <w:r>
        <w:rPr>
          <w:rStyle w:val="citation-103"/>
        </w:rPr>
        <w:t xml:space="preserve"> топологические пустоты интерпретируются как истинные геометрические паттерны данных, в то время как быстро исчезающие особенности классифицируются как стохастический шум</w:t>
      </w:r>
      <w:r>
        <w:t xml:space="preserve">. Для агрегации полученных топологических инвариантов в скалярные признаки, пригодные для классических моделей машинного обучения, вычисляется персистентная энтропия, количественно описывающая степень хаотичности и разнообразия временных интервалов существования топологических циклов. </w:t>
      </w:r>
    </w:p>
    <w:p w14:paraId="0F90B8A3" w14:textId="77777777" w:rsidR="00E2719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АЙПЛАЙН АНАЛИЗА ДАННЫХ</w:t>
      </w:r>
    </w:p>
    <w:p w14:paraId="2F3FC10E" w14:textId="7F40C96F" w:rsidR="00DA7560" w:rsidRPr="00DA7560" w:rsidRDefault="00DA7560" w:rsidP="00317A71">
      <w:pPr>
        <w:pStyle w:val="NormalWeb"/>
        <w:spacing w:line="276" w:lineRule="auto"/>
      </w:pPr>
      <w:r w:rsidRPr="00DA7560">
        <w:t xml:space="preserve">Разработанный пайплайн обработки и анализа телеметрических данных жестких дисков Backblaze состоит из следующих последовательных этапов: </w:t>
      </w:r>
    </w:p>
    <w:p w14:paraId="3BDE0E34" w14:textId="77777777" w:rsidR="00DA7560" w:rsidRPr="00DA7560" w:rsidRDefault="00DA7560" w:rsidP="00317A7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A756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Формирование целевой выборки (Sampling):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исходного массива данных за первый квартал 2024 года (Q1 2024) были извлечены все доступные уникальные идентификаторы неисправных накопителей (</w:t>
      </w:r>
      <w:r w:rsidRPr="00DA7560">
        <w:rPr>
          <w:rFonts w:ascii="Courier New" w:eastAsia="Times New Roman" w:hAnsi="Courier New" w:cs="Courier New"/>
          <w:lang w:val="ru-RU"/>
        </w:rPr>
        <w:t>failed_serials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>). В целях оптимизации вычислительных ресурсов и снижения затрат на TDA-фильтрацию сформирована контрольная группа из 1000 условно-здоровых жестких дисков посредством репрезентативного случайного бесповторного отбора (</w:t>
      </w:r>
      <w:r w:rsidRPr="00DA7560">
        <w:rPr>
          <w:rFonts w:ascii="Courier New" w:eastAsia="Times New Roman" w:hAnsi="Courier New" w:cs="Courier New"/>
          <w:lang w:val="ru-RU"/>
        </w:rPr>
        <w:t>random.sample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>).</w:t>
      </w:r>
    </w:p>
    <w:p w14:paraId="50D3ABBE" w14:textId="77777777" w:rsidR="00DA7560" w:rsidRPr="00DA7560" w:rsidRDefault="00DA7560" w:rsidP="00317A7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A756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Входная фильтрация и заполнение пропусков: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качестве предиктивных признаков определены 5 критических SMART-метрик, отражающих деградацию физической поверхности и сбои интерфейса накопителей: </w:t>
      </w:r>
      <w:r w:rsidRPr="00DA7560">
        <w:rPr>
          <w:rFonts w:ascii="Courier New" w:eastAsia="Times New Roman" w:hAnsi="Courier New" w:cs="Courier New"/>
          <w:lang w:val="ru-RU"/>
        </w:rPr>
        <w:t>smart_5_raw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(число переназначенных секторов), </w:t>
      </w:r>
      <w:r w:rsidRPr="00DA7560">
        <w:rPr>
          <w:rFonts w:ascii="Courier New" w:eastAsia="Times New Roman" w:hAnsi="Courier New" w:cs="Courier New"/>
          <w:lang w:val="ru-RU"/>
        </w:rPr>
        <w:t>smart_187_raw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(неисправимые ошибки), </w:t>
      </w:r>
      <w:r w:rsidRPr="00DA7560">
        <w:rPr>
          <w:rFonts w:ascii="Courier New" w:eastAsia="Times New Roman" w:hAnsi="Courier New" w:cs="Courier New"/>
          <w:lang w:val="ru-RU"/>
        </w:rPr>
        <w:t>smart_188_raw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(таймауты команд), </w:t>
      </w:r>
      <w:r w:rsidRPr="00DA7560">
        <w:rPr>
          <w:rFonts w:ascii="Courier New" w:eastAsia="Times New Roman" w:hAnsi="Courier New" w:cs="Courier New"/>
          <w:lang w:val="ru-RU"/>
        </w:rPr>
        <w:t>smart_197_raw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(нестабильные сектора) и </w:t>
      </w:r>
      <w:r w:rsidRPr="00DA7560">
        <w:rPr>
          <w:rFonts w:ascii="Courier New" w:eastAsia="Times New Roman" w:hAnsi="Courier New" w:cs="Courier New"/>
          <w:lang w:val="ru-RU"/>
        </w:rPr>
        <w:t>smart_198_raw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(нескорректированные ошибки секторов). Пропуски (структурные аномалии) обработаны методом импутации константы 0 (</w:t>
      </w:r>
      <w:r w:rsidRPr="00DA7560">
        <w:rPr>
          <w:rFonts w:ascii="Courier New" w:eastAsia="Times New Roman" w:hAnsi="Courier New" w:cs="Courier New"/>
          <w:lang w:val="ru-RU"/>
        </w:rPr>
        <w:t>fillna(0)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>). Произведена строго хронологическая сортировка записей по идентификатору (</w:t>
      </w:r>
      <w:r w:rsidRPr="00DA7560">
        <w:rPr>
          <w:rFonts w:ascii="Courier New" w:eastAsia="Times New Roman" w:hAnsi="Courier New" w:cs="Courier New"/>
          <w:lang w:val="ru-RU"/>
        </w:rPr>
        <w:t>serial_number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>) и временной метке (</w:t>
      </w:r>
      <w:r w:rsidRPr="00DA7560">
        <w:rPr>
          <w:rFonts w:ascii="Courier New" w:eastAsia="Times New Roman" w:hAnsi="Courier New" w:cs="Courier New"/>
          <w:lang w:val="ru-RU"/>
        </w:rPr>
        <w:t>date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14:paraId="63708378" w14:textId="33FEF29D" w:rsidR="00DA7560" w:rsidRPr="00DA7560" w:rsidRDefault="00DA7560" w:rsidP="00317A7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A756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Разделение и нормализация данных: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Множество уникальных жестких дисков случайным образом разделено на обучающую (80%) и тестовую (20%) выборки с фиксацией состояния генератора (</w:t>
      </w:r>
      <w:r w:rsidRPr="00DA7560">
        <w:rPr>
          <w:rFonts w:ascii="Courier New" w:eastAsia="Times New Roman" w:hAnsi="Courier New" w:cs="Courier New"/>
          <w:lang w:val="ru-RU"/>
        </w:rPr>
        <w:t>random_state=42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во избежание эффекта утечки данных (data leakage). Масштабирование признаков реализовано независимо для каждого подмножества с помощью оператора </w:t>
      </w:r>
      <w:r w:rsidRPr="00DA7560">
        <w:rPr>
          <w:rFonts w:ascii="Courier New" w:eastAsia="Times New Roman" w:hAnsi="Courier New" w:cs="Courier New"/>
          <w:lang w:val="ru-RU"/>
        </w:rPr>
        <w:t>MinMaxScaler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целевой диапазон </w:t>
      </w:r>
      <w:r w:rsidR="00426F29" w:rsidRPr="00426F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     [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0,1]. </w:t>
      </w:r>
    </w:p>
    <w:p w14:paraId="6E707E90" w14:textId="39AB7DDC" w:rsidR="00DA7560" w:rsidRPr="00DA7560" w:rsidRDefault="00DA7560" w:rsidP="00317A7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A756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Конструирование конфигурационных пространств (Sliding Window):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Реализовано преобразование одномерных временных рядов в многомерные облака точек посредством скользящего окна (</w:t>
      </w:r>
      <w:r w:rsidRPr="00DA7560">
        <w:rPr>
          <w:rFonts w:ascii="Courier New" w:eastAsia="Times New Roman" w:hAnsi="Courier New" w:cs="Courier New"/>
          <w:lang w:val="ru-RU"/>
        </w:rPr>
        <w:t>SlidingWindow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из библиотеки </w:t>
      </w:r>
      <w:r w:rsidRPr="00DA7560">
        <w:rPr>
          <w:rFonts w:ascii="Courier New" w:eastAsia="Times New Roman" w:hAnsi="Courier New" w:cs="Courier New"/>
          <w:lang w:val="ru-RU"/>
        </w:rPr>
        <w:t>giotto-tda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со строго детерминированными гиперпараметрами: размер окна </w:t>
      </w:r>
      <w:r w:rsidRPr="00DA7560">
        <w:rPr>
          <w:rFonts w:ascii="Courier New" w:eastAsia="Times New Roman" w:hAnsi="Courier New" w:cs="Courier New"/>
          <w:lang w:val="ru-RU"/>
        </w:rPr>
        <w:t>window_size = 14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суток (что обусловлено физическим циклом деградации устройств), шаг скольжения </w:t>
      </w:r>
      <w:r w:rsidRPr="00DA7560">
        <w:rPr>
          <w:rFonts w:ascii="Courier New" w:eastAsia="Times New Roman" w:hAnsi="Courier New" w:cs="Courier New"/>
          <w:lang w:val="ru-RU"/>
        </w:rPr>
        <w:t>stride = 1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В результате сформированы тензоры признаков: </w:t>
      </w:r>
      <w:r w:rsidRPr="00DA7560">
        <w:rPr>
          <w:rFonts w:ascii="Courier New" w:eastAsia="Times New Roman" w:hAnsi="Courier New" w:cs="Courier New"/>
          <w:lang w:val="ru-RU"/>
        </w:rPr>
        <w:t>X_train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объемом</w:t>
      </w:r>
      <w:r w:rsidR="00426F29" w:rsidRPr="00426F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82331 окно и </w:t>
      </w:r>
      <w:r w:rsidRPr="00DA7560">
        <w:rPr>
          <w:rFonts w:ascii="Courier New" w:eastAsia="Times New Roman" w:hAnsi="Courier New" w:cs="Courier New"/>
          <w:lang w:val="ru-RU"/>
        </w:rPr>
        <w:t>X_test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объемом 19967</w:t>
      </w:r>
      <w:r w:rsidR="00426F29" w:rsidRPr="00426F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>окон с размерностью индивидуального облака точек (14</w:t>
      </w:r>
      <w:r w:rsidR="00426F29" w:rsidRPr="00426F29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* 5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14:paraId="6CB450B2" w14:textId="5ADC69C9" w:rsidR="00DA7560" w:rsidRPr="00DA7560" w:rsidRDefault="00DA7560" w:rsidP="00317A7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A756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Экстракция топологических признаков: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базе объектного класса </w:t>
      </w:r>
      <w:r w:rsidRPr="00DA7560">
        <w:rPr>
          <w:rFonts w:ascii="Courier New" w:eastAsia="Times New Roman" w:hAnsi="Courier New" w:cs="Courier New"/>
          <w:lang w:val="ru-RU"/>
        </w:rPr>
        <w:t>VietorisRipsPersistence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применением евклидовой метрики вычисляются персистентные диаграммы для гомологий размерностей H</w:t>
      </w:r>
      <w:r w:rsidRPr="00DA7560">
        <w:rPr>
          <w:rFonts w:ascii="Times New Roman" w:eastAsia="Times New Roman" w:hAnsi="Times New Roman" w:cs="Times New Roman"/>
          <w:sz w:val="14"/>
          <w:szCs w:val="14"/>
          <w:lang w:val="ru-RU"/>
        </w:rPr>
        <w:t>0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H</w:t>
      </w:r>
      <w:r w:rsidRPr="00DA7560">
        <w:rPr>
          <w:rFonts w:ascii="Times New Roman" w:eastAsia="Times New Roman" w:hAnsi="Times New Roman" w:cs="Times New Roman"/>
          <w:sz w:val="14"/>
          <w:szCs w:val="14"/>
          <w:lang w:val="ru-RU"/>
        </w:rPr>
        <w:t>1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Затем, используя модуль </w:t>
      </w:r>
      <w:r w:rsidRPr="00DA7560">
        <w:rPr>
          <w:rFonts w:ascii="Courier New" w:eastAsia="Times New Roman" w:hAnsi="Courier New" w:cs="Courier New"/>
          <w:lang w:val="ru-RU"/>
        </w:rPr>
        <w:t>PersistenceEntropy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>, производится расчет векторов персистентной энтропии.</w:t>
      </w:r>
    </w:p>
    <w:p w14:paraId="112F1FBB" w14:textId="5ECADE14" w:rsidR="007155DB" w:rsidRDefault="00DA7560" w:rsidP="00317A71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DA7560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Классификация и компенсация дисбаланса: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Векторы топологической энтропии стандартизируются с помощью </w:t>
      </w:r>
      <w:r w:rsidRPr="00DA7560">
        <w:rPr>
          <w:rFonts w:ascii="Courier New" w:eastAsia="Times New Roman" w:hAnsi="Courier New" w:cs="Courier New"/>
          <w:lang w:val="ru-RU"/>
        </w:rPr>
        <w:t>StandardScaler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Обучение моделей проводится по схеме </w:t>
      </w:r>
      <w:r w:rsidRPr="00DA7560">
        <w:rPr>
          <w:rFonts w:ascii="Courier New" w:eastAsia="Times New Roman" w:hAnsi="Courier New" w:cs="Courier New"/>
          <w:lang w:val="ru-RU"/>
        </w:rPr>
        <w:t>Pipeline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>. Для минимизации негативного влияния дисбаланса классов (вызванного естественным укорачиванием истории наблюдений сбойных дисков после наступления критического отказа) в целевой модели опорных векторов (</w:t>
      </w:r>
      <w:r w:rsidRPr="00DA7560">
        <w:rPr>
          <w:rFonts w:ascii="Courier New" w:eastAsia="Times New Roman" w:hAnsi="Courier New" w:cs="Courier New"/>
          <w:lang w:val="ru-RU"/>
        </w:rPr>
        <w:t>SVC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>) активирован взвешенный штрафной функционал (</w:t>
      </w:r>
      <w:r w:rsidRPr="00DA7560">
        <w:rPr>
          <w:rFonts w:ascii="Courier New" w:eastAsia="Times New Roman" w:hAnsi="Courier New" w:cs="Courier New"/>
          <w:lang w:val="ru-RU"/>
        </w:rPr>
        <w:t>class_weight='balanced'</w:t>
      </w:r>
      <w:r w:rsidRPr="00DA75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). </w:t>
      </w:r>
    </w:p>
    <w:p w14:paraId="27B698A8" w14:textId="47490DE1" w:rsidR="007155DB" w:rsidRDefault="007155DB" w:rsidP="00317A7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8A65D29" w14:textId="77777777" w:rsidR="007155DB" w:rsidRDefault="007155DB" w:rsidP="00317A7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2D9901A" w14:textId="77777777" w:rsidR="00E2719B" w:rsidRPr="007155DB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ПЕРСИСТЕНТНЫЕ ДИАГРАММЫ</w:t>
      </w:r>
    </w:p>
    <w:p w14:paraId="430D3E27" w14:textId="49786BB0" w:rsidR="007155DB" w:rsidRPr="007155DB" w:rsidRDefault="007155DB" w:rsidP="00317A7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</w:t>
      </w:r>
      <w:r w:rsidRPr="007155DB">
        <w:rPr>
          <w:rFonts w:ascii="Times New Roman" w:eastAsia="Times New Roman" w:hAnsi="Times New Roman" w:cs="Times New Roman"/>
          <w:sz w:val="24"/>
          <w:szCs w:val="24"/>
          <w:lang w:val="ru-RU"/>
        </w:rPr>
        <w:t>рамках исследования была проведена оценка топологической значимости и информативности сгенерированных конфигурационных пространств (окон). Математической мерой персистентности выступает разность координат времени смерти и рождения гомологического цикла. Для выделения нетривиальных структурных перестроек в динамике SMART-метрик была реализована программная фильтрация одномерных топологических циклов H</w:t>
      </w:r>
      <w:r w:rsidRPr="007155DB">
        <w:rPr>
          <w:rFonts w:ascii="Times New Roman" w:eastAsia="Times New Roman" w:hAnsi="Times New Roman" w:cs="Times New Roman"/>
          <w:sz w:val="14"/>
          <w:szCs w:val="14"/>
          <w:lang w:val="ru-RU"/>
        </w:rPr>
        <w:t>1</w:t>
      </w:r>
      <w:r w:rsidRPr="007155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 пороговому критерию максимальной персистентности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br/>
      </w:r>
      <w:r w:rsidRPr="007155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 ходе выполнения процедуры сепарации на обучающем множестве </w:t>
      </w:r>
      <w:r w:rsidRPr="007155DB">
        <w:rPr>
          <w:rFonts w:ascii="Courier New" w:eastAsia="Times New Roman" w:hAnsi="Courier New" w:cs="Courier New"/>
          <w:lang w:val="ru-RU"/>
        </w:rPr>
        <w:t>pers_train</w:t>
      </w:r>
      <w:r w:rsidRPr="007155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было установлено, что количество окон, содержащих выраженные персистентные циклы, существенно варьируется в зависимости от целевой метки класса. Сортировка диаграмм по убыванию максимального времени жизни циклов H</w:t>
      </w:r>
      <w:r w:rsidRPr="007155DB">
        <w:rPr>
          <w:rFonts w:ascii="Times New Roman" w:eastAsia="Times New Roman" w:hAnsi="Times New Roman" w:cs="Times New Roman"/>
          <w:sz w:val="14"/>
          <w:szCs w:val="14"/>
          <w:lang w:val="ru-RU"/>
        </w:rPr>
        <w:t>1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155DB">
        <w:rPr>
          <w:rFonts w:ascii="Times New Roman" w:eastAsia="Times New Roman" w:hAnsi="Times New Roman" w:cs="Times New Roman"/>
          <w:sz w:val="24"/>
          <w:szCs w:val="24"/>
          <w:lang w:val="ru-RU"/>
        </w:rPr>
        <w:t>позволила локализовать окна наиболее интенсивной деградации параметров. Изолированные точки на диаграммах, удаленные от бисектрисы y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155DB">
        <w:rPr>
          <w:rFonts w:ascii="Times New Roman" w:eastAsia="Times New Roman" w:hAnsi="Times New Roman" w:cs="Times New Roman"/>
          <w:sz w:val="24"/>
          <w:szCs w:val="24"/>
          <w:lang w:val="ru-RU"/>
        </w:rPr>
        <w:t>=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155DB">
        <w:rPr>
          <w:rFonts w:ascii="Times New Roman" w:eastAsia="Times New Roman" w:hAnsi="Times New Roman" w:cs="Times New Roman"/>
          <w:sz w:val="24"/>
          <w:szCs w:val="24"/>
          <w:lang w:val="ru-RU"/>
        </w:rPr>
        <w:t>x, математически подтверждают появление устойчивых аномалий в поведении накопителей непосредственно перед сбоем, в то время как диаграммы исправных дисков демонстрируют околодиагональное распределение, эквивалентное топологическому шуму.</w:t>
      </w:r>
    </w:p>
    <w:p w14:paraId="0EB9E721" w14:textId="1BF2A446" w:rsidR="007155DB" w:rsidRDefault="007155DB" w:rsidP="00317A7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52D16CD5" w14:textId="77777777" w:rsidR="007155DB" w:rsidRPr="007155DB" w:rsidRDefault="007155DB" w:rsidP="00317A7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7F7A12F4" w14:textId="42D33FB3" w:rsidR="00E2719B" w:rsidRDefault="00E2719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D3F8F58" w14:textId="77777777" w:rsidR="00317A71" w:rsidRDefault="00317A7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38654534" w14:textId="77777777" w:rsidR="007155DB" w:rsidRPr="00842633" w:rsidRDefault="007155DB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</w:p>
    <w:p w14:paraId="5EBAE49E" w14:textId="7847FE73" w:rsidR="006F2F72" w:rsidRDefault="001B6D9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СИМПЛИЦИАЛЬНЫЕ КОМПЛЕКСЫ</w:t>
      </w:r>
    </w:p>
    <w:p w14:paraId="3352D760" w14:textId="77777777" w:rsidR="007155DB" w:rsidRDefault="007155DB" w:rsidP="00317A71">
      <w:pPr>
        <w:pStyle w:val="NormalWeb"/>
        <w:spacing w:line="276" w:lineRule="auto"/>
      </w:pPr>
      <w:r>
        <w:rPr>
          <w:rStyle w:val="citation-92"/>
        </w:rPr>
        <w:t xml:space="preserve">Для верификации корректности построения симплициальных каркасов и интерпретации геометрических свойств признакового пространства разработан специализированный модуль интерактивной визуализации на базе графической библиотеки </w:t>
      </w:r>
      <w:r>
        <w:rPr>
          <w:rStyle w:val="citation-92"/>
          <w:rFonts w:ascii="Courier New" w:hAnsi="Courier New" w:cs="Courier New"/>
          <w:sz w:val="20"/>
          <w:szCs w:val="20"/>
        </w:rPr>
        <w:t>Plotly</w:t>
      </w:r>
      <w:r>
        <w:t xml:space="preserve">. </w:t>
      </w:r>
    </w:p>
    <w:p w14:paraId="0C1D5E89" w14:textId="00FAC468" w:rsidR="007155DB" w:rsidRDefault="007155DB" w:rsidP="00317A71">
      <w:pPr>
        <w:pStyle w:val="NormalWeb"/>
        <w:spacing w:line="276" w:lineRule="auto"/>
      </w:pPr>
      <w:r>
        <w:t xml:space="preserve">Поскольку исходные облака точек имеют размерность </w:t>
      </w:r>
      <w:r>
        <w:rPr>
          <w:rStyle w:val="math-inline"/>
        </w:rPr>
        <w:t xml:space="preserve">5 </w:t>
      </w:r>
      <w:r>
        <w:t xml:space="preserve">(по числу исследуемых SMART-метрик), для их отображения на плоскости применено ортогональное линейное преобразование </w:t>
      </w:r>
      <w:r>
        <w:t>-</w:t>
      </w:r>
      <w:r>
        <w:t xml:space="preserve"> метод главных компонент (PCA), максимизирующий объясненную дисперсию на двух первых осях проекции.</w:t>
      </w:r>
    </w:p>
    <w:p w14:paraId="73613DCE" w14:textId="5E04E136" w:rsidR="007155DB" w:rsidRDefault="007155DB" w:rsidP="00317A71">
      <w:pPr>
        <w:pStyle w:val="NormalWeb"/>
        <w:spacing w:line="276" w:lineRule="auto"/>
        <w:rPr>
          <w:lang w:val="en-US"/>
        </w:rPr>
      </w:pPr>
      <w:r>
        <w:rPr>
          <w:rStyle w:val="citation-91"/>
        </w:rPr>
        <w:t>Разработанный графический интерфейс с анимационным триггером (</w:t>
      </w:r>
      <w:r>
        <w:rPr>
          <w:rStyle w:val="citation-91"/>
          <w:rFonts w:ascii="Courier New" w:hAnsi="Courier New" w:cs="Courier New"/>
          <w:sz w:val="20"/>
          <w:szCs w:val="20"/>
        </w:rPr>
        <w:t>Play</w:t>
      </w:r>
      <w:r>
        <w:rPr>
          <w:rStyle w:val="citation-91"/>
        </w:rPr>
        <w:t>/</w:t>
      </w:r>
      <w:r>
        <w:rPr>
          <w:rStyle w:val="citation-91"/>
          <w:rFonts w:ascii="Courier New" w:hAnsi="Courier New" w:cs="Courier New"/>
          <w:sz w:val="20"/>
          <w:szCs w:val="20"/>
        </w:rPr>
        <w:t>Pause</w:t>
      </w:r>
      <w:r>
        <w:rPr>
          <w:rStyle w:val="citation-91"/>
        </w:rPr>
        <w:t>) и дискретным ползунком шага изменения радиуса фильтрации (</w:t>
      </w:r>
      <w:r>
        <w:rPr>
          <w:rStyle w:val="math-inline"/>
          <w:lang w:val="en-US"/>
        </w:rPr>
        <w:t>r</w:t>
      </w:r>
      <w:r>
        <w:rPr>
          <w:rStyle w:val="math-inline"/>
        </w:rPr>
        <w:t xml:space="preserve"> принадл. </w:t>
      </w:r>
      <w:r w:rsidRPr="007155DB">
        <w:rPr>
          <w:rStyle w:val="math-inline"/>
        </w:rPr>
        <w:t>[</w:t>
      </w:r>
      <w:r>
        <w:rPr>
          <w:rStyle w:val="math-inline"/>
        </w:rPr>
        <w:t>0.02; 0.65]</w:t>
      </w:r>
      <w:r>
        <w:rPr>
          <w:rStyle w:val="citation-91"/>
        </w:rPr>
        <w:t>) обеспечивает пошаговое отслеживание топологической эволюции системы</w:t>
      </w:r>
      <w:r>
        <w:t xml:space="preserve">. Программа динамически рассчитывает попарные евклидовы расстояния </w:t>
      </w:r>
      <w:r>
        <w:rPr>
          <w:rStyle w:val="math-inline"/>
        </w:rPr>
        <w:t>d(i, j)</w:t>
      </w:r>
      <w:r>
        <w:t xml:space="preserve"> между элементами облака. При выполнении граничного условия:</w:t>
      </w:r>
      <w:r>
        <w:t xml:space="preserve"> </w:t>
      </w:r>
      <w:r>
        <w:rPr>
          <w:lang w:val="en-US"/>
        </w:rPr>
        <w:t>2r &gt;= d(i, j)</w:t>
      </w:r>
    </w:p>
    <w:p w14:paraId="1B2DB895" w14:textId="0F73C9F7" w:rsidR="007155DB" w:rsidRPr="007155DB" w:rsidRDefault="007155DB" w:rsidP="00317A71">
      <w:pP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</w:t>
      </w:r>
      <w:r w:rsidRPr="007155DB">
        <w:rPr>
          <w:rFonts w:ascii="Times New Roman" w:eastAsia="Times New Roman" w:hAnsi="Times New Roman" w:cs="Times New Roman"/>
          <w:sz w:val="24"/>
          <w:szCs w:val="24"/>
          <w:lang w:val="ru-RU"/>
        </w:rPr>
        <w:t>а графике визуализируется генерация соответствующего ребра (1-симплекса). Данный инструмент наглядно демонстрирует процесс фазовых переходов в геометрии данных: возникновение связанных компонент (H</w:t>
      </w:r>
      <w:r w:rsidRPr="007155DB">
        <w:rPr>
          <w:rFonts w:ascii="Times New Roman" w:eastAsia="Times New Roman" w:hAnsi="Times New Roman" w:cs="Times New Roman"/>
          <w:sz w:val="14"/>
          <w:szCs w:val="14"/>
          <w:lang w:val="ru-RU"/>
        </w:rPr>
        <w:t>0</w:t>
      </w:r>
      <w:r w:rsidRPr="007155DB">
        <w:rPr>
          <w:rFonts w:ascii="Times New Roman" w:eastAsia="Times New Roman" w:hAnsi="Times New Roman" w:cs="Times New Roman"/>
          <w:sz w:val="24"/>
          <w:szCs w:val="24"/>
          <w:lang w:val="ru-RU"/>
        </w:rPr>
        <w:t>) на малых радиусах и последующее замыкание траекторий в устойчивые петли (H</w:t>
      </w:r>
      <w:r w:rsidRPr="007155DB">
        <w:rPr>
          <w:rFonts w:ascii="Times New Roman" w:eastAsia="Times New Roman" w:hAnsi="Times New Roman" w:cs="Times New Roman"/>
          <w:sz w:val="14"/>
          <w:szCs w:val="14"/>
          <w:lang w:val="ru-RU"/>
        </w:rPr>
        <w:t>1</w:t>
      </w:r>
      <w:r w:rsidRPr="007155D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), специфика и геометрия которых отражают характер предаварийного состояния жесткого диска. </w:t>
      </w:r>
    </w:p>
    <w:p w14:paraId="7F5BCD79" w14:textId="03ED80A2" w:rsidR="006F2F72" w:rsidRPr="00317A71" w:rsidRDefault="00317A71" w:rsidP="00317A7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Pr="00317A71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В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ЫВОДЫ</w:t>
      </w:r>
    </w:p>
    <w:p w14:paraId="33E066C4" w14:textId="007D827D" w:rsidR="00317A71" w:rsidRPr="00317A71" w:rsidRDefault="00317A71" w:rsidP="00317A7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317A7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Оценка эффективности TDA-подхода</w:t>
      </w:r>
      <w:r w:rsidRPr="00317A71">
        <w:rPr>
          <w:rFonts w:ascii="Times New Roman" w:eastAsia="Times New Roman" w:hAnsi="Times New Roman" w:cs="Times New Roman"/>
          <w:sz w:val="24"/>
          <w:szCs w:val="24"/>
          <w:lang w:val="ru-RU"/>
        </w:rPr>
        <w:t>: Экспериментально подтверждена применимость методов топологического анализа данных для раннего прогнозирования отказов запоминающих устройств. Агрегация геометрических свойств скользящих 14-дневных окон телеметрии через аппарат персистентной энтропии позволяет сформировать устойчивое к шумам признаковое пространство для последующего анализа.</w:t>
      </w:r>
    </w:p>
    <w:p w14:paraId="13671EA2" w14:textId="2B2A8601" w:rsidR="00317A71" w:rsidRPr="00317A71" w:rsidRDefault="00317A71" w:rsidP="00317A7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17A7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Оптимизация классификационных моделей</w:t>
      </w:r>
      <w:r w:rsidRPr="00317A71">
        <w:rPr>
          <w:rFonts w:ascii="Times New Roman" w:eastAsia="Times New Roman" w:hAnsi="Times New Roman" w:cs="Times New Roman"/>
          <w:sz w:val="24"/>
          <w:szCs w:val="24"/>
          <w:lang w:val="ru-RU"/>
        </w:rPr>
        <w:t>: В ходе сравнительного тестирования пайплайнов (Логистическая регрессия, Метод ближайших соседей, Метод опорных векторов) наилучшую обобщающую способность продемонстрировал классификатор SVC с радиально-базисной функцией ядра (kernel='rbf'). Внедрение стратегии взвешивания классов (class_weight='balanced') позволило скомпенсировать выраженный дисбаланс обучающих окон и повысить чувствительность модели к редким предаварийным состояниям.</w:t>
      </w:r>
    </w:p>
    <w:p w14:paraId="0103F67A" w14:textId="660EB898" w:rsidR="00317A71" w:rsidRDefault="00317A71" w:rsidP="00317A7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17A7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Результаты сравнительного анализа с Baseline</w:t>
      </w:r>
      <w:r w:rsidRPr="00317A7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: Для валидации TDA-пайплайна проведено альтернативное обучение базовых моделей (Logistic Regression, Random Forest, Simple SVM) на "плоских" векторах исходных окон размерностью 70 (14 дней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 </w:t>
      </w:r>
      <w:r w:rsidRPr="00317A71">
        <w:rPr>
          <w:rFonts w:ascii="Times New Roman" w:eastAsia="Times New Roman" w:hAnsi="Times New Roman" w:cs="Times New Roman"/>
          <w:sz w:val="24"/>
          <w:szCs w:val="24"/>
          <w:lang w:val="ru-RU"/>
        </w:rPr>
        <w:t>5 метрик) без предварительного извлечения топологических признаков. Сравнительный анализ расчетных ROC-кривых и PR-кривых (Precision-Recall) показал репрезентативность предложенного топологического метода.</w:t>
      </w:r>
    </w:p>
    <w:p w14:paraId="5DCC8AE4" w14:textId="77777777" w:rsidR="00317A71" w:rsidRDefault="00317A71" w:rsidP="00317A7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69EF69B7" w14:textId="09E67EF7" w:rsidR="00317A71" w:rsidRPr="00317A71" w:rsidRDefault="00317A71" w:rsidP="00317A71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317A71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Практические рекомендации</w:t>
      </w:r>
      <w:r w:rsidRPr="00317A71">
        <w:rPr>
          <w:rFonts w:ascii="Times New Roman" w:eastAsia="Times New Roman" w:hAnsi="Times New Roman" w:cs="Times New Roman"/>
          <w:sz w:val="24"/>
          <w:szCs w:val="24"/>
          <w:lang w:val="ru-RU"/>
        </w:rPr>
        <w:t>: Для повышения отказоустойчивости инфраструктуры современных центров обработки данных (ЦОД) рекомендуется развертывание систем проактивного мониторинга, вычисляющих динамические изменения геометрии совместного распределения SMART-метрик (5, 187, 188, 197, 198) за двухнедельный ретроспективный период, что позволит предиктивно выводить диски из эксплуатации до потери данных.</w:t>
      </w:r>
    </w:p>
    <w:sectPr w:rsidR="00317A71" w:rsidRPr="00317A71">
      <w:footerReference w:type="default" r:id="rId7"/>
      <w:pgSz w:w="11906" w:h="16838"/>
      <w:pgMar w:top="1134" w:right="567" w:bottom="1134" w:left="1701" w:header="425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3A343" w14:textId="77777777" w:rsidR="001B6D91" w:rsidRDefault="001B6D91">
      <w:r>
        <w:separator/>
      </w:r>
    </w:p>
  </w:endnote>
  <w:endnote w:type="continuationSeparator" w:id="0">
    <w:p w14:paraId="748796F8" w14:textId="77777777" w:rsidR="001B6D91" w:rsidRDefault="001B6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  <w:embedRegular r:id="rId1" w:fontKey="{B1A1FC7B-6950-4521-99BD-53B74FEA1F99}"/>
    <w:embedBold r:id="rId2" w:fontKey="{E90A9F1C-B0D6-42D8-A341-A6D1125F0123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7F8B231F-0091-40EE-8E26-72F3D6A0CAFD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  <w:embedRegular r:id="rId4" w:fontKey="{1C6B982F-DE48-40BC-89F1-F28D455E367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BC249A" w14:textId="77777777" w:rsidR="00E2719B" w:rsidRDefault="001B6D91">
    <w:pPr>
      <w:pBdr>
        <w:top w:val="nil"/>
        <w:left w:val="nil"/>
        <w:bottom w:val="nil"/>
        <w:right w:val="nil"/>
        <w:between w:val="nil"/>
      </w:pBdr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6F2F72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6FD5285F" w14:textId="77777777" w:rsidR="00E2719B" w:rsidRDefault="00E2719B">
    <w:pPr>
      <w:pBdr>
        <w:top w:val="nil"/>
        <w:left w:val="nil"/>
        <w:bottom w:val="nil"/>
        <w:right w:val="nil"/>
        <w:between w:val="nil"/>
      </w:pBdr>
      <w:rPr>
        <w:rFonts w:ascii="Times New Roman" w:eastAsia="Times New Roman" w:hAnsi="Times New Roman" w:cs="Times New Roman"/>
        <w:color w:val="000000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990D5" w14:textId="77777777" w:rsidR="001B6D91" w:rsidRDefault="001B6D91">
      <w:r>
        <w:separator/>
      </w:r>
    </w:p>
  </w:footnote>
  <w:footnote w:type="continuationSeparator" w:id="0">
    <w:p w14:paraId="0FF65892" w14:textId="77777777" w:rsidR="001B6D91" w:rsidRDefault="001B6D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F7C8A"/>
    <w:multiLevelType w:val="hybridMultilevel"/>
    <w:tmpl w:val="E18C3F64"/>
    <w:lvl w:ilvl="0" w:tplc="94E471A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573C68"/>
    <w:multiLevelType w:val="multilevel"/>
    <w:tmpl w:val="5B96E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19B"/>
    <w:rsid w:val="001B6D91"/>
    <w:rsid w:val="00317A71"/>
    <w:rsid w:val="00426F29"/>
    <w:rsid w:val="006F2F72"/>
    <w:rsid w:val="007155DB"/>
    <w:rsid w:val="00842633"/>
    <w:rsid w:val="00DA7560"/>
    <w:rsid w:val="00E2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2F020"/>
  <w15:docId w15:val="{8798DC27-399F-4D8F-BF13-81FB01DB3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A756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citation-111">
    <w:name w:val="citation-111"/>
    <w:basedOn w:val="DefaultParagraphFont"/>
    <w:rsid w:val="00DA7560"/>
  </w:style>
  <w:style w:type="character" w:customStyle="1" w:styleId="citation-110">
    <w:name w:val="citation-110"/>
    <w:basedOn w:val="DefaultParagraphFont"/>
    <w:rsid w:val="00DA7560"/>
  </w:style>
  <w:style w:type="character" w:customStyle="1" w:styleId="math-inline">
    <w:name w:val="math-inline"/>
    <w:basedOn w:val="DefaultParagraphFont"/>
    <w:rsid w:val="00DA7560"/>
  </w:style>
  <w:style w:type="character" w:customStyle="1" w:styleId="citation-109">
    <w:name w:val="citation-109"/>
    <w:basedOn w:val="DefaultParagraphFont"/>
    <w:rsid w:val="00DA7560"/>
  </w:style>
  <w:style w:type="character" w:customStyle="1" w:styleId="citation-108">
    <w:name w:val="citation-108"/>
    <w:basedOn w:val="DefaultParagraphFont"/>
    <w:rsid w:val="00DA7560"/>
  </w:style>
  <w:style w:type="character" w:customStyle="1" w:styleId="citation-107">
    <w:name w:val="citation-107"/>
    <w:basedOn w:val="DefaultParagraphFont"/>
    <w:rsid w:val="00DA7560"/>
  </w:style>
  <w:style w:type="character" w:customStyle="1" w:styleId="citation-106">
    <w:name w:val="citation-106"/>
    <w:basedOn w:val="DefaultParagraphFont"/>
    <w:rsid w:val="00DA7560"/>
  </w:style>
  <w:style w:type="character" w:customStyle="1" w:styleId="citation-105">
    <w:name w:val="citation-105"/>
    <w:basedOn w:val="DefaultParagraphFont"/>
    <w:rsid w:val="00DA7560"/>
  </w:style>
  <w:style w:type="character" w:customStyle="1" w:styleId="citation-104">
    <w:name w:val="citation-104"/>
    <w:basedOn w:val="DefaultParagraphFont"/>
    <w:rsid w:val="00DA7560"/>
  </w:style>
  <w:style w:type="character" w:customStyle="1" w:styleId="citation-103">
    <w:name w:val="citation-103"/>
    <w:basedOn w:val="DefaultParagraphFont"/>
    <w:rsid w:val="00DA7560"/>
  </w:style>
  <w:style w:type="character" w:customStyle="1" w:styleId="citation-102">
    <w:name w:val="citation-102"/>
    <w:basedOn w:val="DefaultParagraphFont"/>
    <w:rsid w:val="00DA7560"/>
  </w:style>
  <w:style w:type="character" w:styleId="HTMLCode">
    <w:name w:val="HTML Code"/>
    <w:basedOn w:val="DefaultParagraphFont"/>
    <w:uiPriority w:val="99"/>
    <w:semiHidden/>
    <w:unhideWhenUsed/>
    <w:rsid w:val="00DA7560"/>
    <w:rPr>
      <w:rFonts w:ascii="Courier New" w:eastAsia="Times New Roman" w:hAnsi="Courier New" w:cs="Courier New"/>
      <w:sz w:val="20"/>
      <w:szCs w:val="20"/>
    </w:rPr>
  </w:style>
  <w:style w:type="character" w:customStyle="1" w:styleId="citation-101">
    <w:name w:val="citation-101"/>
    <w:basedOn w:val="DefaultParagraphFont"/>
    <w:rsid w:val="00DA7560"/>
  </w:style>
  <w:style w:type="character" w:customStyle="1" w:styleId="citation-100">
    <w:name w:val="citation-100"/>
    <w:basedOn w:val="DefaultParagraphFont"/>
    <w:rsid w:val="00DA7560"/>
  </w:style>
  <w:style w:type="character" w:customStyle="1" w:styleId="citation-99">
    <w:name w:val="citation-99"/>
    <w:basedOn w:val="DefaultParagraphFont"/>
    <w:rsid w:val="00DA7560"/>
  </w:style>
  <w:style w:type="character" w:customStyle="1" w:styleId="citation-98">
    <w:name w:val="citation-98"/>
    <w:basedOn w:val="DefaultParagraphFont"/>
    <w:rsid w:val="00DA7560"/>
  </w:style>
  <w:style w:type="character" w:customStyle="1" w:styleId="citation-97">
    <w:name w:val="citation-97"/>
    <w:basedOn w:val="DefaultParagraphFont"/>
    <w:rsid w:val="00DA7560"/>
  </w:style>
  <w:style w:type="character" w:customStyle="1" w:styleId="citation-96">
    <w:name w:val="citation-96"/>
    <w:basedOn w:val="DefaultParagraphFont"/>
    <w:rsid w:val="00DA7560"/>
  </w:style>
  <w:style w:type="character" w:customStyle="1" w:styleId="citation-95">
    <w:name w:val="citation-95"/>
    <w:basedOn w:val="DefaultParagraphFont"/>
    <w:rsid w:val="007155DB"/>
  </w:style>
  <w:style w:type="character" w:customStyle="1" w:styleId="citation-94">
    <w:name w:val="citation-94"/>
    <w:basedOn w:val="DefaultParagraphFont"/>
    <w:rsid w:val="007155DB"/>
  </w:style>
  <w:style w:type="character" w:customStyle="1" w:styleId="citation-93">
    <w:name w:val="citation-93"/>
    <w:basedOn w:val="DefaultParagraphFont"/>
    <w:rsid w:val="007155DB"/>
  </w:style>
  <w:style w:type="character" w:customStyle="1" w:styleId="citation-92">
    <w:name w:val="citation-92"/>
    <w:basedOn w:val="DefaultParagraphFont"/>
    <w:rsid w:val="007155DB"/>
  </w:style>
  <w:style w:type="character" w:customStyle="1" w:styleId="citation-91">
    <w:name w:val="citation-91"/>
    <w:basedOn w:val="DefaultParagraphFont"/>
    <w:rsid w:val="007155DB"/>
  </w:style>
  <w:style w:type="character" w:customStyle="1" w:styleId="citation-90">
    <w:name w:val="citation-90"/>
    <w:basedOn w:val="DefaultParagraphFont"/>
    <w:rsid w:val="007155DB"/>
  </w:style>
  <w:style w:type="character" w:customStyle="1" w:styleId="citation-89">
    <w:name w:val="citation-89"/>
    <w:basedOn w:val="DefaultParagraphFont"/>
    <w:rsid w:val="007155DB"/>
  </w:style>
  <w:style w:type="paragraph" w:styleId="ListParagraph">
    <w:name w:val="List Paragraph"/>
    <w:basedOn w:val="Normal"/>
    <w:uiPriority w:val="34"/>
    <w:qFormat/>
    <w:rsid w:val="00317A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0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30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1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1361</Words>
  <Characters>7759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</cp:lastModifiedBy>
  <cp:revision>3</cp:revision>
  <dcterms:created xsi:type="dcterms:W3CDTF">2026-05-25T18:53:00Z</dcterms:created>
  <dcterms:modified xsi:type="dcterms:W3CDTF">2026-05-25T20:27:00Z</dcterms:modified>
</cp:coreProperties>
</file>