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28"/>
          <w:szCs w:val="28"/>
        </w:rPr>
        <w:t xml:space="preserve">PES UNIVERSITY</w:t>
      </w:r>
    </w:p>
    <w:p>
      <w:pPr>
        <w:spacing w:after="40"/>
        <w:jc w:val="center"/>
      </w:pPr>
      <w:r>
        <w:rPr>
          <w:rFonts w:ascii="Calibri" w:cs="Calibri" w:eastAsia="Calibri" w:hAnsi="Calibri"/>
          <w:color w:val="000000"/>
          <w:sz w:val="21"/>
          <w:szCs w:val="21"/>
        </w:rPr>
        <w:t xml:space="preserve">Department of Computer Science and Engineering</w:t>
      </w:r>
    </w:p>
    <w:p>
      <w:pPr>
        <w:spacing w:after="80"/>
        <w:jc w:val="center"/>
      </w:pPr>
      <w:r>
        <w:rPr>
          <w:rFonts w:ascii="Calibri" w:cs="Calibri" w:eastAsia="Calibri" w:hAnsi="Calibri"/>
          <w:i/>
          <w:iCs/>
          <w:color w:val="000000"/>
          <w:sz w:val="21"/>
          <w:szCs w:val="21"/>
        </w:rPr>
        <w:t xml:space="preserve">UE24CS341A: Software Engineering  |  Lab 3: Architectural Pattern Selection</w:t>
      </w:r>
    </w:p>
    <w:p>
      <w:pPr>
        <w:spacing w:after="160"/>
        <w:jc w:val="center"/>
      </w:pPr>
      <w:r>
        <w:rPr>
          <w:rFonts w:ascii="Calibri" w:cs="Calibri" w:eastAsia="Calibri" w:hAnsi="Calibri"/>
          <w:color w:val="000000"/>
          <w:sz w:val="20"/>
          <w:szCs w:val="20"/>
        </w:rPr>
        <w:t xml:space="preserve">Name: ES Sukruth  |  SRN: PES1UG24CS160  |  Date: 13 September 2026</w:t>
      </w:r>
    </w:p>
    <w:p>
      <w:pPr>
        <w:pBdr>
          <w:bottom w:val="single" w:color="CCCCCC" w:sz="4" w:space="1"/>
        </w:pBdr>
        <w:spacing w:after="120"/>
      </w:pPr>
    </w:p>
    <w:p>
      <w:pPr>
        <w:spacing w:after="80" w:before="280"/>
      </w:pPr>
      <w:r>
        <w:rPr>
          <w:rFonts w:ascii="Calibri" w:cs="Calibri" w:eastAsia="Calibri" w:hAnsi="Calibri"/>
          <w:b/>
          <w:bCs/>
          <w:color w:val="000000"/>
          <w:sz w:val="24"/>
          <w:szCs w:val="24"/>
          <w:u w:val="single"/>
        </w:rPr>
        <w:t xml:space="preserve">1. Architecture Selection</w:t>
      </w:r>
    </w:p>
    <w:p>
      <w:pPr>
        <w:spacing w:after="100"/>
        <w:jc w:val="both"/>
      </w:pPr>
      <w:r>
        <w:rPr>
          <w:rFonts w:ascii="Calibri" w:cs="Calibri" w:eastAsia="Calibri" w:hAnsi="Calibri"/>
          <w:color w:val="000000"/>
          <w:sz w:val="21"/>
          <w:szCs w:val="21"/>
        </w:rPr>
        <w:t xml:space="preserve">We chose </w:t>
      </w:r>
      <w:r>
        <w:rPr>
          <w:rFonts w:ascii="Calibri" w:cs="Calibri" w:eastAsia="Calibri" w:hAnsi="Calibri"/>
          <w:b/>
          <w:bCs/>
          <w:color w:val="000000"/>
          <w:sz w:val="21"/>
          <w:szCs w:val="21"/>
        </w:rPr>
        <w:t xml:space="preserve">Layered Architecture</w:t>
      </w:r>
      <w:r>
        <w:rPr>
          <w:rFonts w:ascii="Calibri" w:cs="Calibri" w:eastAsia="Calibri" w:hAnsi="Calibri"/>
          <w:color w:val="000000"/>
          <w:sz w:val="21"/>
          <w:szCs w:val="21"/>
        </w:rPr>
        <w:t xml:space="preserve"> for the </w:t>
      </w:r>
      <w:r>
        <w:rPr>
          <w:rFonts w:ascii="Calibri" w:cs="Calibri" w:eastAsia="Calibri" w:hAnsi="Calibri"/>
          <w:b/>
          <w:bCs/>
          <w:color w:val="000000"/>
          <w:sz w:val="21"/>
          <w:szCs w:val="21"/>
        </w:rPr>
        <w:t xml:space="preserve">Personal Subscription &amp; Recurring Expense Auditor</w:t>
      </w:r>
      <w:r>
        <w:rPr>
          <w:rFonts w:ascii="Calibri" w:cs="Calibri" w:eastAsia="Calibri" w:hAnsi="Calibri"/>
          <w:color w:val="000000"/>
          <w:sz w:val="21"/>
          <w:szCs w:val="21"/>
        </w:rPr>
        <w:t xml:space="preserve">. The system maps naturally onto three horizontal tiers — Presentation, Business Logic, and Data — matching the scenario's clear separation between the user interface, transaction analysis, and financial data storage.</w:t>
      </w:r>
    </w:p>
    <w:p>
      <w:pPr>
        <w:spacing w:after="80" w:before="280"/>
      </w:pPr>
      <w:r>
        <w:rPr>
          <w:rFonts w:ascii="Calibri" w:cs="Calibri" w:eastAsia="Calibri" w:hAnsi="Calibri"/>
          <w:b/>
          <w:bCs/>
          <w:color w:val="000000"/>
          <w:sz w:val="24"/>
          <w:szCs w:val="24"/>
          <w:u w:val="single"/>
        </w:rPr>
        <w:t xml:space="preserve">2. Architectural Style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680"/>
        <w:gridCol w:w="1800"/>
      </w:tblGrid>
      <w:tr>
        <w:trPr>
          <w:tblHeader/>
        </w:trPr>
        <w:tc>
          <w:tcPr>
            <w:shd w:fill="D9E8F7" w:val="clear"/>
            <w:tcMar>
              <w:top w:type="dxa" w:w="80"/>
              <w:left w:type="dxa" w:w="120"/>
              <w:bottom w:type="dxa" w:w="80"/>
              <w:right w:type="dxa" w:w="120"/>
            </w:tcMar>
            <w:vAlign w:val="center"/>
          </w:tcPr>
          <w:p>
            <w:pPr>
              <w:spacing w:after="60" w:before="60"/>
              <w:jc w:val="left"/>
            </w:pPr>
            <w:r>
              <w:rPr>
                <w:rFonts w:ascii="Calibri" w:cs="Calibri" w:eastAsia="Calibri" w:hAnsi="Calibri"/>
                <w:b/>
                <w:bCs/>
                <w:color w:val="000000"/>
                <w:sz w:val="20"/>
                <w:szCs w:val="20"/>
              </w:rPr>
              <w:t xml:space="preserve">Architecture Style</w:t>
            </w:r>
          </w:p>
        </w:tc>
        <w:tc>
          <w:tcPr>
            <w:shd w:fill="D9E8F7" w:val="clear"/>
            <w:tcMar>
              <w:top w:type="dxa" w:w="80"/>
              <w:left w:type="dxa" w:w="120"/>
              <w:bottom w:type="dxa" w:w="80"/>
              <w:right w:type="dxa" w:w="120"/>
            </w:tcMar>
            <w:vAlign w:val="center"/>
          </w:tcPr>
          <w:p>
            <w:pPr>
              <w:spacing w:after="60" w:before="60"/>
              <w:jc w:val="left"/>
            </w:pPr>
            <w:r>
              <w:rPr>
                <w:rFonts w:ascii="Calibri" w:cs="Calibri" w:eastAsia="Calibri" w:hAnsi="Calibri"/>
                <w:b/>
                <w:bCs/>
                <w:color w:val="000000"/>
                <w:sz w:val="20"/>
                <w:szCs w:val="20"/>
              </w:rPr>
              <w:t xml:space="preserve">Strengths</w:t>
            </w:r>
          </w:p>
        </w:tc>
        <w:tc>
          <w:tcPr>
            <w:shd w:fill="D9E8F7" w:val="clear"/>
            <w:tcMar>
              <w:top w:type="dxa" w:w="80"/>
              <w:left w:type="dxa" w:w="120"/>
              <w:bottom w:type="dxa" w:w="80"/>
              <w:right w:type="dxa" w:w="120"/>
            </w:tcMar>
            <w:vAlign w:val="center"/>
          </w:tcPr>
          <w:p>
            <w:pPr>
              <w:spacing w:after="60" w:before="60"/>
              <w:jc w:val="left"/>
            </w:pPr>
            <w:r>
              <w:rPr>
                <w:rFonts w:ascii="Calibri" w:cs="Calibri" w:eastAsia="Calibri" w:hAnsi="Calibri"/>
                <w:b/>
                <w:bCs/>
                <w:color w:val="000000"/>
                <w:sz w:val="20"/>
                <w:szCs w:val="20"/>
              </w:rPr>
              <w:t xml:space="preserve">Limitations</w:t>
            </w:r>
          </w:p>
        </w:tc>
        <w:tc>
          <w:tcPr>
            <w:shd w:fill="D9E8F7" w:val="clear"/>
            <w:tcMar>
              <w:top w:type="dxa" w:w="80"/>
              <w:left w:type="dxa" w:w="120"/>
              <w:bottom w:type="dxa" w:w="80"/>
              <w:right w:type="dxa" w:w="120"/>
            </w:tcMar>
            <w:vAlign w:val="center"/>
          </w:tcPr>
          <w:p>
            <w:pPr>
              <w:spacing w:after="60" w:before="60"/>
              <w:jc w:val="left"/>
            </w:pPr>
            <w:r>
              <w:rPr>
                <w:rFonts w:ascii="Calibri" w:cs="Calibri" w:eastAsia="Calibri" w:hAnsi="Calibri"/>
                <w:b/>
                <w:bCs/>
                <w:color w:val="000000"/>
                <w:sz w:val="20"/>
                <w:szCs w:val="20"/>
              </w:rPr>
              <w:t xml:space="preserve">Fit for PS-32</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Layered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Clear separation of concerns; maintainable; well-understood</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Some inter-layer overhead; less granular scaling</w:t>
            </w:r>
          </w:p>
        </w:tc>
        <w:tc>
          <w:tcPr>
            <w:tcMar>
              <w:top w:type="dxa" w:w="80"/>
              <w:left w:type="dxa" w:w="120"/>
              <w:bottom w:type="dxa" w:w="80"/>
              <w:right w:type="dxa" w:w="120"/>
            </w:tcMar>
            <w:vAlign w:val="center"/>
          </w:tcPr>
          <w:p>
            <w:pPr>
              <w:spacing w:after="60" w:before="60"/>
              <w:jc w:val="left"/>
            </w:pPr>
            <w:r>
              <w:rPr>
                <w:rFonts w:ascii="Calibri" w:cs="Calibri" w:eastAsia="Calibri" w:hAnsi="Calibri"/>
                <w:b/>
                <w:bCs/>
                <w:color w:val="000000"/>
                <w:sz w:val="20"/>
                <w:szCs w:val="20"/>
              </w:rPr>
              <w:t xml:space="preserve">Best fit ✓</w:t>
            </w:r>
          </w:p>
        </w:tc>
      </w:tr>
      <w:tr>
        <w:tc>
          <w:tcPr>
            <w:shd w:fill="F0F4FA"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Microservices</w:t>
            </w:r>
          </w:p>
        </w:tc>
        <w:tc>
          <w:tcPr>
            <w:shd w:fill="F0F4FA"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Independent scaling; fault isolation</w:t>
            </w:r>
          </w:p>
        </w:tc>
        <w:tc>
          <w:tcPr>
            <w:shd w:fill="F0F4FA"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High operational complexity; network/data-consistency issues</w:t>
            </w:r>
          </w:p>
        </w:tc>
        <w:tc>
          <w:tcPr>
            <w:shd w:fill="F0F4FA"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Overkill</w:t>
            </w:r>
          </w:p>
        </w:tc>
      </w:tr>
      <w:tr>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Client-Server</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Centralized control; simple deployment</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Server bottleneck; single point of failure</w:t>
            </w:r>
          </w:p>
        </w:tc>
        <w:tc>
          <w:tcP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color w:val="000000"/>
                <w:sz w:val="20"/>
                <w:szCs w:val="20"/>
              </w:rPr>
              <w:t xml:space="preserve">Adequate</w:t>
            </w:r>
          </w:p>
        </w:tc>
      </w:tr>
    </w:tbl>
    <w:p>
      <w:pPr>
        <w:spacing w:after="140"/>
      </w:pPr>
    </w:p>
    <w:p>
      <w:pPr>
        <w:spacing w:after="80" w:before="280"/>
      </w:pPr>
      <w:r>
        <w:rPr>
          <w:rFonts w:ascii="Calibri" w:cs="Calibri" w:eastAsia="Calibri" w:hAnsi="Calibri"/>
          <w:b/>
          <w:bCs/>
          <w:color w:val="000000"/>
          <w:sz w:val="24"/>
          <w:szCs w:val="24"/>
          <w:u w:val="single"/>
        </w:rPr>
        <w:t xml:space="preserve">3. Reasons for the Choice</w:t>
      </w:r>
    </w:p>
    <w:p>
      <w:pPr>
        <w:pStyle w:val="ListParagraph"/>
        <w:numPr>
          <w:ilvl w:val="0"/>
          <w:numId w:val="1"/>
        </w:numPr>
        <w:spacing w:after="80"/>
        <w:ind w:left="360" w:hanging="260"/>
      </w:pPr>
      <w:r>
        <w:rPr>
          <w:rFonts w:ascii="Calibri" w:cs="Calibri" w:eastAsia="Calibri" w:hAnsi="Calibri"/>
          <w:b/>
          <w:bCs/>
          <w:color w:val="000000"/>
          <w:sz w:val="21"/>
          <w:szCs w:val="21"/>
        </w:rPr>
        <w:t xml:space="preserve">Reason 1 — </w:t>
      </w:r>
      <w:r>
        <w:rPr>
          <w:rFonts w:ascii="Calibri" w:cs="Calibri" w:eastAsia="Calibri" w:hAnsi="Calibri"/>
          <w:color w:val="000000"/>
          <w:sz w:val="21"/>
          <w:szCs w:val="21"/>
        </w:rPr>
        <w:t xml:space="preserve">Separation of concerns: The UI, transaction analysis, subscription management, reporting, and financial data storage evolve independently while keeping responsibilities clearly delineated. Adding a new feature (e.g., export format) touches only the relevant layer.</w:t>
      </w:r>
    </w:p>
    <w:p>
      <w:pPr>
        <w:pStyle w:val="ListParagraph"/>
        <w:numPr>
          <w:ilvl w:val="0"/>
          <w:numId w:val="1"/>
        </w:numPr>
        <w:spacing w:after="80"/>
        <w:ind w:left="360" w:hanging="260"/>
      </w:pPr>
      <w:r>
        <w:rPr>
          <w:rFonts w:ascii="Calibri" w:cs="Calibri" w:eastAsia="Calibri" w:hAnsi="Calibri"/>
          <w:b/>
          <w:bCs/>
          <w:color w:val="000000"/>
          <w:sz w:val="21"/>
          <w:szCs w:val="21"/>
        </w:rPr>
        <w:t xml:space="preserve">Reason 2 — </w:t>
      </w:r>
      <w:r>
        <w:rPr>
          <w:rFonts w:ascii="Calibri" w:cs="Calibri" w:eastAsia="Calibri" w:hAnsi="Calibri"/>
          <w:color w:val="000000"/>
          <w:sz w:val="21"/>
          <w:szCs w:val="21"/>
        </w:rPr>
        <w:t xml:space="preserve">Proportional complexity: The application is a focused personal finance micro-app, not a large distributed platform. Layered Architecture provides the required structure without the operational overhead (service meshes, distributed tracing, eventual consistency) that Microservices would impose.</w:t>
      </w:r>
    </w:p>
    <w:p>
      <w:pPr>
        <w:spacing w:after="80" w:before="280"/>
      </w:pPr>
      <w:r>
        <w:rPr>
          <w:rFonts w:ascii="Calibri" w:cs="Calibri" w:eastAsia="Calibri" w:hAnsi="Calibri"/>
          <w:b/>
          <w:bCs/>
          <w:color w:val="000000"/>
          <w:sz w:val="24"/>
          <w:szCs w:val="24"/>
          <w:u w:val="single"/>
        </w:rPr>
        <w:t xml:space="preserve">4. Security Advantage</w:t>
      </w:r>
    </w:p>
    <w:p>
      <w:pPr>
        <w:spacing w:after="100"/>
        <w:jc w:val="both"/>
      </w:pPr>
      <w:r>
        <w:rPr>
          <w:rFonts w:ascii="Calibri" w:cs="Calibri" w:eastAsia="Calibri" w:hAnsi="Calibri"/>
          <w:color w:val="000000"/>
          <w:sz w:val="21"/>
          <w:szCs w:val="21"/>
        </w:rPr>
        <w:t xml:space="preserve">The Data Layer isolates raw financial transaction storage behind the Business Layer's validation boundary. The Transaction Import Component (CSV/OFX parser) sanitises and normalises data before persistence, ensuring banking credentials are never written in cleartext. Higher layers access data only through well-defined interfaces (DBInterface, ImportAPI), preventing direct SQL access from the UI — directly supporting NFR-001.</w:t>
      </w:r>
    </w:p>
    <w:p>
      <w:pPr>
        <w:spacing w:after="80" w:before="280"/>
      </w:pPr>
      <w:r>
        <w:rPr>
          <w:rFonts w:ascii="Calibri" w:cs="Calibri" w:eastAsia="Calibri" w:hAnsi="Calibri"/>
          <w:b/>
          <w:bCs/>
          <w:color w:val="000000"/>
          <w:sz w:val="24"/>
          <w:szCs w:val="24"/>
          <w:u w:val="single"/>
        </w:rPr>
        <w:t xml:space="preserve">5. Performance Benefit</w:t>
      </w:r>
    </w:p>
    <w:p>
      <w:pPr>
        <w:spacing w:after="100"/>
        <w:jc w:val="both"/>
      </w:pPr>
      <w:r>
        <w:rPr>
          <w:rFonts w:ascii="Calibri" w:cs="Calibri" w:eastAsia="Calibri" w:hAnsi="Calibri"/>
          <w:color w:val="000000"/>
          <w:sz w:val="21"/>
          <w:szCs w:val="21"/>
        </w:rPr>
        <w:t xml:space="preserve">Transaction analysis and database I/O can be optimised independently of the presentation tier. Heavy recurring-pattern detection (Subscription Analyzer) can be offloaded asynchronously without blocking the UI render, and the Database Component can be tuned (indexing, caching) without touching business logic. This architecture allows the system to meet NFR-002's target of parsing and displaying up to 10,000 records within 5 seconds.</w:t>
      </w:r>
    </w:p>
    <w:p>
      <w:pPr>
        <w:spacing w:after="80" w:before="280"/>
      </w:pPr>
      <w:r>
        <w:rPr>
          <w:rFonts w:ascii="Calibri" w:cs="Calibri" w:eastAsia="Calibri" w:hAnsi="Calibri"/>
          <w:b/>
          <w:bCs/>
          <w:color w:val="000000"/>
          <w:sz w:val="24"/>
          <w:szCs w:val="24"/>
          <w:u w:val="single"/>
        </w:rPr>
        <w:t xml:space="preserve">6. Component &amp; Interface Summary</w:t>
      </w:r>
    </w:p>
    <w:p>
      <w:pPr>
        <w:spacing w:after="100"/>
        <w:jc w:val="both"/>
      </w:pPr>
      <w:r>
        <w:rPr>
          <w:rFonts w:ascii="Calibri" w:cs="Calibri" w:eastAsia="Calibri" w:hAnsi="Calibri"/>
          <w:color w:val="000000"/>
          <w:sz w:val="21"/>
          <w:szCs w:val="21"/>
        </w:rPr>
        <w:t xml:space="preserve">The component diagram contains 6 internal components and 2 external actors (Bank / Data Source and Notification Service). Nine named interfaces use provided (ball) and required (socket) UML notation:</w:t>
      </w:r>
    </w:p>
    <w:p>
      <w:pPr>
        <w:pStyle w:val="ListParagraph"/>
        <w:numPr>
          <w:ilvl w:val="0"/>
          <w:numId w:val="1"/>
        </w:numPr>
        <w:spacing w:after="80"/>
        <w:ind w:left="360" w:hanging="260"/>
      </w:pPr>
      <w:r>
        <w:rPr>
          <w:rFonts w:ascii="Calibri" w:cs="Calibri" w:eastAsia="Calibri" w:hAnsi="Calibri"/>
          <w:color w:val="000000"/>
          <w:sz w:val="21"/>
          <w:szCs w:val="21"/>
        </w:rPr>
        <w:t xml:space="preserve">ImportAPI — Transaction Import provides data ingestion to the Business Layer.</w:t>
      </w:r>
    </w:p>
    <w:p>
      <w:pPr>
        <w:pStyle w:val="ListParagraph"/>
        <w:numPr>
          <w:ilvl w:val="0"/>
          <w:numId w:val="1"/>
        </w:numPr>
        <w:spacing w:after="80"/>
        <w:ind w:left="360" w:hanging="260"/>
      </w:pPr>
      <w:r>
        <w:rPr>
          <w:rFonts w:ascii="Calibri" w:cs="Calibri" w:eastAsia="Calibri" w:hAnsi="Calibri"/>
          <w:color w:val="000000"/>
          <w:sz w:val="21"/>
          <w:szCs w:val="21"/>
        </w:rPr>
        <w:t xml:space="preserve">AnalysisAPI — Subscription Analyzer provides pattern-detection results to the UI.</w:t>
      </w:r>
    </w:p>
    <w:p>
      <w:pPr>
        <w:pStyle w:val="ListParagraph"/>
        <w:numPr>
          <w:ilvl w:val="0"/>
          <w:numId w:val="1"/>
        </w:numPr>
        <w:spacing w:after="80"/>
        <w:ind w:left="360" w:hanging="260"/>
      </w:pPr>
      <w:r>
        <w:rPr>
          <w:rFonts w:ascii="Calibri" w:cs="Calibri" w:eastAsia="Calibri" w:hAnsi="Calibri"/>
          <w:color w:val="000000"/>
          <w:sz w:val="21"/>
          <w:szCs w:val="21"/>
        </w:rPr>
        <w:t xml:space="preserve">AlertAPI — Alert Manager provides renewal notification triggers.</w:t>
      </w:r>
    </w:p>
    <w:p>
      <w:pPr>
        <w:pStyle w:val="ListParagraph"/>
        <w:numPr>
          <w:ilvl w:val="0"/>
          <w:numId w:val="1"/>
        </w:numPr>
        <w:spacing w:after="80"/>
        <w:ind w:left="360" w:hanging="260"/>
      </w:pPr>
      <w:r>
        <w:rPr>
          <w:rFonts w:ascii="Calibri" w:cs="Calibri" w:eastAsia="Calibri" w:hAnsi="Calibri"/>
          <w:color w:val="000000"/>
          <w:sz w:val="21"/>
          <w:szCs w:val="21"/>
        </w:rPr>
        <w:t xml:space="preserve">CancelAPI — Cancellation Guide provides one-click cancellation links.</w:t>
      </w:r>
    </w:p>
    <w:p>
      <w:pPr>
        <w:pStyle w:val="ListParagraph"/>
        <w:numPr>
          <w:ilvl w:val="0"/>
          <w:numId w:val="1"/>
        </w:numPr>
        <w:spacing w:after="80"/>
        <w:ind w:left="360" w:hanging="260"/>
      </w:pPr>
      <w:r>
        <w:rPr>
          <w:rFonts w:ascii="Calibri" w:cs="Calibri" w:eastAsia="Calibri" w:hAnsi="Calibri"/>
          <w:color w:val="000000"/>
          <w:sz w:val="21"/>
          <w:szCs w:val="21"/>
        </w:rPr>
        <w:t xml:space="preserve">DBInterface — Database provides persistent subscription storage to all business components.</w:t>
      </w:r>
    </w:p>
    <w:p>
      <w:pPr>
        <w:pStyle w:val="ListParagraph"/>
        <w:numPr>
          <w:ilvl w:val="0"/>
          <w:numId w:val="1"/>
        </w:numPr>
        <w:spacing w:after="80"/>
        <w:ind w:left="360" w:hanging="260"/>
      </w:pPr>
      <w:r>
        <w:rPr>
          <w:rFonts w:ascii="Calibri" w:cs="Calibri" w:eastAsia="Calibri" w:hAnsi="Calibri"/>
          <w:color w:val="000000"/>
          <w:sz w:val="21"/>
          <w:szCs w:val="21"/>
        </w:rPr>
        <w:t xml:space="preserve">UserPortal — UI provides the interaction surface to the end user.</w:t>
      </w:r>
    </w:p>
    <w:p>
      <w:pPr>
        <w:pStyle w:val="ListParagraph"/>
        <w:numPr>
          <w:ilvl w:val="0"/>
          <w:numId w:val="1"/>
        </w:numPr>
        <w:spacing w:after="80"/>
        <w:ind w:left="360" w:hanging="260"/>
      </w:pPr>
      <w:r>
        <w:rPr>
          <w:rFonts w:ascii="Calibri" w:cs="Calibri" w:eastAsia="Calibri" w:hAnsi="Calibri"/>
          <w:color w:val="000000"/>
          <w:sz w:val="21"/>
          <w:szCs w:val="21"/>
        </w:rPr>
        <w:t xml:space="preserve">NotifService — required by Alert Manager; fulfilled by the external Notification Service.</w:t>
      </w:r>
    </w:p>
    <w:p>
      <w:pPr>
        <w:pStyle w:val="ListParagraph"/>
        <w:numPr>
          <w:ilvl w:val="0"/>
          <w:numId w:val="1"/>
        </w:numPr>
        <w:spacing w:after="80"/>
        <w:ind w:left="360" w:hanging="260"/>
      </w:pPr>
      <w:r>
        <w:rPr>
          <w:rFonts w:ascii="Calibri" w:cs="Calibri" w:eastAsia="Calibri" w:hAnsi="Calibri"/>
          <w:color w:val="000000"/>
          <w:sz w:val="21"/>
          <w:szCs w:val="21"/>
        </w:rPr>
        <w:t xml:space="preserve">DataAccess — required by Subscription Analyzer; fulfilled by both Transaction Import and Database.</w:t>
      </w:r>
    </w:p>
    <w:p>
      <w:pPr>
        <w:spacing w:after="80"/>
      </w:pPr>
    </w:p>
    <w:p>
      <w:pPr>
        <w:pBdr>
          <w:bottom w:val="single" w:color="CCCCCC" w:sz="4" w:space="1"/>
        </w:pBdr>
        <w:spacing w:after="120"/>
      </w:pPr>
    </w:p>
    <w:p>
      <w:pPr>
        <w:jc w:val="center"/>
      </w:pPr>
      <w:r>
        <w:rPr>
          <w:rFonts w:ascii="Calibri" w:cs="Calibri" w:eastAsia="Calibri" w:hAnsi="Calibri"/>
          <w:i/>
          <w:iCs/>
          <w:color w:val="000000"/>
          <w:sz w:val="18"/>
          <w:szCs w:val="18"/>
        </w:rPr>
        <w:t xml:space="preserve">Problem Statement #32 — Personal Subscription &amp; Recurring Expense Auditor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2026-09-13T17:27:44.919Z</dcterms:created>
  <dcterms:modified xsi:type="dcterms:W3CDTF">2026-09-13T17:27:44.919Z</dcterms:modified>
</cp:coreProperties>
</file>

<file path=docProps/custom.xml><?xml version="1.0" encoding="utf-8"?>
<Properties xmlns="http://schemas.openxmlformats.org/officeDocument/2006/custom-properties" xmlns:vt="http://schemas.openxmlformats.org/officeDocument/2006/docPropsVTypes"/>
</file>