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0"/>
        <w:jc w:val="center"/>
      </w:pPr>
      <w:r>
        <w:rPr>
          <w:rFonts w:ascii="Arial" w:hAnsi="Arial"/>
          <w:b/>
          <w:color w:val="4A5568"/>
          <w:sz w:val="22"/>
        </w:rPr>
        <w:t>POSTGRADUATE PROGRAMME IN COMPUTER SCIENCE &amp; SOFTWARE ENGINEERING</w:t>
        <w:br/>
        <w:t>DEPARTMENT OF SOFTWARE TECHNOLOGY</w:t>
      </w:r>
    </w:p>
    <w:p>
      <w:pPr>
        <w:spacing w:before="720" w:after="200"/>
        <w:jc w:val="center"/>
      </w:pPr>
      <w:r>
        <w:rPr>
          <w:rFonts w:ascii="Georgia" w:hAnsi="Georgia"/>
          <w:b/>
          <w:color w:val="0F294A"/>
          <w:sz w:val="52"/>
        </w:rPr>
        <w:t>VALENTI ATELIER</w:t>
      </w:r>
    </w:p>
    <w:p>
      <w:pPr>
        <w:spacing w:before="80" w:after="560"/>
        <w:jc w:val="center"/>
      </w:pPr>
      <w:r>
        <w:rPr>
          <w:rFonts w:ascii="Calibri" w:hAnsi="Calibri"/>
          <w:b/>
          <w:color w:val="9A7B38"/>
          <w:sz w:val="28"/>
        </w:rPr>
        <w:t>LEVERAGING SOFTWARE TECHNOLOGY TO CREATE STRATEGIC BUSINESS VALUE IN DIRECT-TO-CONSUMER (B2C) LUXURY RETAILING</w:t>
      </w:r>
    </w:p>
    <w:p>
      <w:pPr>
        <w:spacing w:after="600"/>
        <w:jc w:val="center"/>
      </w:pPr>
      <w:r>
        <w:rPr>
          <w:color w:val="9A7B38"/>
          <w:sz w:val="20"/>
        </w:rPr>
        <w:t>━━━━━━━━━━━━━━━━━━━━━━━━━━━━━━━━━━━━━━━━━━━━━━━━━━</w:t>
      </w:r>
    </w:p>
    <w:p>
      <w:pPr>
        <w:spacing w:after="120"/>
        <w:jc w:val="center"/>
      </w:pPr>
      <w:r>
        <w:rPr>
          <w:rFonts w:ascii="Arial" w:hAnsi="Arial"/>
          <w:b/>
          <w:color w:val="0F294A"/>
          <w:sz w:val="26"/>
        </w:rPr>
        <w:t>SEN 803 Software Technology — Course Project Report</w:t>
        <w:br/>
      </w:r>
      <w:r>
        <w:rPr>
          <w:rFonts w:ascii="Calibri" w:hAnsi="Calibri"/>
          <w:i/>
          <w:color w:val="4A5568"/>
          <w:sz w:val="23"/>
        </w:rPr>
        <w:t>Prototype Business Portal Development &amp; Strategic Business Plan (30 Marks Component)</w:t>
      </w:r>
    </w:p>
    <w:p>
      <w:pPr>
        <w:spacing w:before="1600" w:after="80"/>
        <w:jc w:val="center"/>
      </w:pPr>
      <w:r>
        <w:rPr>
          <w:rFonts w:ascii="Calibri" w:hAnsi="Calibri"/>
          <w:color w:val="4A5568"/>
          <w:sz w:val="21"/>
        </w:rPr>
        <w:t>Prepared &amp; Submitted By:</w:t>
        <w:br/>
      </w:r>
      <w:r>
        <w:rPr>
          <w:rFonts w:ascii="Arial" w:hAnsi="Arial"/>
          <w:b/>
          <w:color w:val="0F294A"/>
          <w:sz w:val="26"/>
        </w:rPr>
        <w:t>Sulaiman Adamu Ahmad</w:t>
        <w:br/>
      </w:r>
      <w:r>
        <w:rPr>
          <w:rFonts w:ascii="Calibri" w:hAnsi="Calibri"/>
          <w:color w:val="4A5568"/>
          <w:sz w:val="20"/>
        </w:rPr>
        <w:t>B2C Portal Prototype Repository: Valenti Atelier</w:t>
        <w:br/>
        <w:t>Academic Session: 2026</w:t>
      </w:r>
    </w:p>
    <w:p>
      <w:r>
        <w:br w:type="page"/>
      </w:r>
    </w:p>
    <w:p>
      <w:pPr>
        <w:keepNext/>
        <w:spacing w:before="440" w:after="160"/>
      </w:pPr>
      <w:r>
        <w:rPr>
          <w:rFonts w:ascii="Arial" w:hAnsi="Arial"/>
          <w:b/>
          <w:color w:val="0F294A"/>
          <w:sz w:val="32"/>
        </w:rPr>
        <w:t>Executive Summary</w:t>
      </w:r>
    </w:p>
    <w:p>
      <w:pPr>
        <w:spacing w:after="120" w:line="283" w:lineRule="auto"/>
      </w:pPr>
      <w:r>
        <w:rPr>
          <w:rFonts w:ascii="Calibri" w:hAnsi="Calibri"/>
          <w:color w:val="2D3748"/>
          <w:sz w:val="21"/>
        </w:rPr>
        <w:t>This business plan report and technical specification fulfills the requirements of the SEN 803 Software Technology Course Project. The project formulates a comprehensive strategy for launching Valenti Atelier—a modern, direct-to-consumer (B2C) luxury fashion label specializing in architectural tailoring, pure silk garments, and contemporary minimalist streetwear. Grounded in the course brief's core objective—to demonstrate how a new company can leverage Information Technology (IT) to create enduring consumer value and sustainable competitive advantage—this document pairs strategic business planning with an enterprise-grade prototype business portal.</w:t>
      </w:r>
    </w:p>
    <w:p>
      <w:pPr>
        <w:spacing w:after="120" w:line="283" w:lineRule="auto"/>
      </w:pPr>
      <w:r>
        <w:rPr>
          <w:rFonts w:ascii="Calibri" w:hAnsi="Calibri"/>
          <w:color w:val="2D3748"/>
          <w:sz w:val="21"/>
        </w:rPr>
        <w:t>Historically, luxury fashion retailing has relied upon physical boutique exclusivity and wholesale department store intermediaries, incurring bloated retail markups (often exceeding 600%), opaque inventory visibility, and disconnected customer relationships. Valenti Atelier dismantles these inefficiencies by implementing an integrated, pure-play B2C software portal that unifies digital merchandising, automated transaction processing, logistics transparency, and administrative intelligence.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36" w:space="0" w:color="0F294A"/>
              <w:bottom w:val="none"/>
              <w:right w:val="none"/>
            </w:tcBorders>
          </w:tcPr>
          <w:p>
            <w:pPr>
              <w:spacing w:before="40" w:after="80"/>
            </w:pPr>
            <w:r>
              <w:rPr>
                <w:rFonts w:ascii="Arial" w:hAnsi="Arial"/>
                <w:b/>
                <w:color w:val="0F294A"/>
                <w:sz w:val="20"/>
              </w:rPr>
              <w:t>◆ CORE COURSE ALIGNMENT: SEN 803 SOFTWARE TECHNOLOGY</w:t>
              <w:br/>
            </w:r>
          </w:p>
          <w:p>
            <w:pPr>
              <w:spacing w:before="40" w:after="40"/>
            </w:pPr>
            <w:r>
              <w:rPr>
                <w:rFonts w:ascii="Georgia" w:hAnsi="Georgia"/>
                <w:i/>
                <w:color w:val="2D3748"/>
                <w:sz w:val="19"/>
              </w:rPr>
              <w:t>Course Requirement: Demonstrate key functionalities related to B2C Trading (Table 1: Online Shop — Production or buying and selling products).</w:t>
            </w:r>
          </w:p>
          <w:p>
            <w:pPr>
              <w:spacing w:before="40" w:after="40"/>
            </w:pPr>
            <w:r>
              <w:rPr>
                <w:rFonts w:ascii="Georgia" w:hAnsi="Georgia"/>
                <w:i/>
                <w:color w:val="2D3748"/>
                <w:sz w:val="19"/>
              </w:rPr>
              <w:t>Technical Deliverables: High-performance PHP 8.2 backend, relational PDO abstraction with dual-driver SQLite/MySQL support, dynamic client-side interactivity, and full administrative back-office management.</w:t>
            </w:r>
          </w:p>
          <w:p>
            <w:pPr>
              <w:spacing w:before="40" w:after="40"/>
            </w:pPr>
            <w:r>
              <w:rPr>
                <w:rFonts w:ascii="Georgia" w:hAnsi="Georgia"/>
                <w:i/>
                <w:color w:val="2D3748"/>
                <w:sz w:val="19"/>
              </w:rPr>
              <w:t>Business Outcome: Demonstrable 65% gross product margin, zero-friction automated checkout conversion, sub-50ms server response times, and an end-to-end simulated 4-stage order tracking lifecycle.</w:t>
            </w:r>
          </w:p>
        </w:tc>
      </w:tr>
    </w:tbl>
    <w:p>
      <w:pPr>
        <w:spacing w:after="120"/>
      </w:pPr>
    </w:p>
    <w:p>
      <w:pPr>
        <w:keepNext/>
        <w:spacing w:before="280" w:after="120"/>
      </w:pPr>
      <w:r>
        <w:rPr>
          <w:rFonts w:ascii="Arial" w:hAnsi="Arial"/>
          <w:b/>
          <w:color w:val="9A7B38"/>
          <w:sz w:val="25"/>
        </w:rPr>
        <w:t>Report Structure &amp; Table of Contents</w:t>
      </w:r>
    </w:p>
    <w:tbl>
      <w:tblPr>
        <w:tblW w:type="auto" w:w="0"/>
        <w:jc w:val="center"/>
        <w:tblLook w:firstColumn="1" w:firstRow="1" w:lastColumn="0" w:lastRow="0" w:noHBand="0" w:noVBand="1" w:val="04A0"/>
      </w:tblPr>
      <w:tblGrid>
        <w:gridCol w:w="3120"/>
        <w:gridCol w:w="3120"/>
        <w:gridCol w:w="3120"/>
      </w:tblGrid>
      <w:tr>
        <w:tc>
          <w:tcPr>
            <w:tcW w:type="dxa" w:w="1728"/>
            <w:shd w:fill="0F294A"/>
            <w:tcMar>
              <w:top w:w="120" w:type="dxa"/>
              <w:bottom w:w="120" w:type="dxa"/>
              <w:left w:w="140" w:type="dxa"/>
              <w:right w:w="140" w:type="dxa"/>
            </w:tcMar>
          </w:tcPr>
          <w:p>
            <w:pPr>
              <w:jc w:val="left"/>
            </w:pPr>
            <w:r>
              <w:rPr>
                <w:rFonts w:ascii="Arial" w:hAnsi="Arial"/>
                <w:b/>
                <w:color w:val="FFFFFF"/>
                <w:sz w:val="19"/>
              </w:rPr>
              <w:t>Section</w:t>
            </w:r>
          </w:p>
        </w:tc>
        <w:tc>
          <w:tcPr>
            <w:tcW w:type="dxa" w:w="6192"/>
            <w:shd w:fill="0F294A"/>
            <w:tcMar>
              <w:top w:w="120" w:type="dxa"/>
              <w:bottom w:w="120" w:type="dxa"/>
              <w:left w:w="140" w:type="dxa"/>
              <w:right w:w="140" w:type="dxa"/>
            </w:tcMar>
          </w:tcPr>
          <w:p>
            <w:pPr>
              <w:jc w:val="left"/>
            </w:pPr>
            <w:r>
              <w:rPr>
                <w:rFonts w:ascii="Arial" w:hAnsi="Arial"/>
                <w:b/>
                <w:color w:val="FFFFFF"/>
                <w:sz w:val="19"/>
              </w:rPr>
              <w:t>Title / Topical Scope</w:t>
            </w:r>
          </w:p>
        </w:tc>
        <w:tc>
          <w:tcPr>
            <w:tcW w:type="dxa" w:w="1440"/>
            <w:shd w:fill="0F294A"/>
            <w:tcMar>
              <w:top w:w="120" w:type="dxa"/>
              <w:bottom w:w="120" w:type="dxa"/>
              <w:left w:w="140" w:type="dxa"/>
              <w:right w:w="140" w:type="dxa"/>
            </w:tcMar>
          </w:tcPr>
          <w:p>
            <w:pPr>
              <w:jc w:val="left"/>
            </w:pPr>
            <w:r>
              <w:rPr>
                <w:rFonts w:ascii="Arial" w:hAnsi="Arial"/>
                <w:b/>
                <w:color w:val="FFFFFF"/>
                <w:sz w:val="19"/>
              </w:rPr>
              <w:t>Index</w:t>
            </w:r>
          </w:p>
        </w:tc>
      </w:tr>
      <w:tr>
        <w:tc>
          <w:tcPr>
            <w:tcW w:type="dxa" w:w="1728"/>
            <w:shd w:fill="FFFFFF"/>
            <w:tcMar>
              <w:top w:w="100" w:type="dxa"/>
              <w:bottom w:w="100" w:type="dxa"/>
              <w:left w:w="140" w:type="dxa"/>
              <w:right w:w="140" w:type="dxa"/>
            </w:tcMar>
          </w:tcPr>
          <w:p>
            <w:pPr>
              <w:jc w:val="left"/>
            </w:pPr>
            <w:r>
              <w:rPr>
                <w:rFonts w:ascii="Calibri" w:hAnsi="Calibri"/>
                <w:color w:val="2D3748"/>
                <w:sz w:val="19"/>
              </w:rPr>
              <w:t>Section 1</w:t>
            </w:r>
          </w:p>
        </w:tc>
        <w:tc>
          <w:tcPr>
            <w:tcW w:type="dxa" w:w="6192"/>
            <w:shd w:fill="FFFFFF"/>
            <w:tcMar>
              <w:top w:w="100" w:type="dxa"/>
              <w:bottom w:w="100" w:type="dxa"/>
              <w:left w:w="140" w:type="dxa"/>
              <w:right w:w="140" w:type="dxa"/>
            </w:tcMar>
          </w:tcPr>
          <w:p>
            <w:pPr>
              <w:jc w:val="left"/>
            </w:pPr>
            <w:r>
              <w:rPr>
                <w:rFonts w:ascii="Calibri" w:hAnsi="Calibri"/>
                <w:color w:val="2D3748"/>
                <w:sz w:val="19"/>
              </w:rPr>
              <w:t>Business Concept, Brand Identity &amp; Market Positioning</w:t>
            </w:r>
          </w:p>
        </w:tc>
        <w:tc>
          <w:tcPr>
            <w:tcW w:type="dxa" w:w="1440"/>
            <w:shd w:fill="FFFFFF"/>
            <w:tcMar>
              <w:top w:w="100" w:type="dxa"/>
              <w:bottom w:w="100" w:type="dxa"/>
              <w:left w:w="140" w:type="dxa"/>
              <w:right w:w="140" w:type="dxa"/>
            </w:tcMar>
          </w:tcPr>
          <w:p>
            <w:pPr>
              <w:jc w:val="left"/>
            </w:pPr>
            <w:r>
              <w:rPr>
                <w:rFonts w:ascii="Calibri" w:hAnsi="Calibri"/>
                <w:color w:val="2D3748"/>
                <w:sz w:val="19"/>
              </w:rPr>
              <w:t>Page 3</w:t>
            </w:r>
          </w:p>
        </w:tc>
      </w:tr>
      <w:tr>
        <w:tc>
          <w:tcPr>
            <w:tcW w:type="dxa" w:w="1728"/>
            <w:shd w:fill="F8FAFC"/>
            <w:tcMar>
              <w:top w:w="100" w:type="dxa"/>
              <w:bottom w:w="100" w:type="dxa"/>
              <w:left w:w="140" w:type="dxa"/>
              <w:right w:w="140" w:type="dxa"/>
            </w:tcMar>
          </w:tcPr>
          <w:p>
            <w:pPr>
              <w:jc w:val="left"/>
            </w:pPr>
            <w:r>
              <w:rPr>
                <w:rFonts w:ascii="Calibri" w:hAnsi="Calibri"/>
                <w:color w:val="2D3748"/>
                <w:sz w:val="19"/>
              </w:rPr>
              <w:t>Section 2</w:t>
            </w:r>
          </w:p>
        </w:tc>
        <w:tc>
          <w:tcPr>
            <w:tcW w:type="dxa" w:w="6192"/>
            <w:shd w:fill="F8FAFC"/>
            <w:tcMar>
              <w:top w:w="100" w:type="dxa"/>
              <w:bottom w:w="100" w:type="dxa"/>
              <w:left w:w="140" w:type="dxa"/>
              <w:right w:w="140" w:type="dxa"/>
            </w:tcMar>
          </w:tcPr>
          <w:p>
            <w:pPr>
              <w:jc w:val="left"/>
            </w:pPr>
            <w:r>
              <w:rPr>
                <w:rFonts w:ascii="Calibri" w:hAnsi="Calibri"/>
                <w:color w:val="2D3748"/>
                <w:sz w:val="19"/>
              </w:rPr>
              <w:t>IT Value Creation Framework (Direct Alignment with SEN 803 Table 1)</w:t>
            </w:r>
          </w:p>
        </w:tc>
        <w:tc>
          <w:tcPr>
            <w:tcW w:type="dxa" w:w="1440"/>
            <w:shd w:fill="F8FAFC"/>
            <w:tcMar>
              <w:top w:w="100" w:type="dxa"/>
              <w:bottom w:w="100" w:type="dxa"/>
              <w:left w:w="140" w:type="dxa"/>
              <w:right w:w="140" w:type="dxa"/>
            </w:tcMar>
          </w:tcPr>
          <w:p>
            <w:pPr>
              <w:jc w:val="left"/>
            </w:pPr>
            <w:r>
              <w:rPr>
                <w:rFonts w:ascii="Calibri" w:hAnsi="Calibri"/>
                <w:color w:val="2D3748"/>
                <w:sz w:val="19"/>
              </w:rPr>
              <w:t>Page 5</w:t>
            </w:r>
          </w:p>
        </w:tc>
      </w:tr>
      <w:tr>
        <w:tc>
          <w:tcPr>
            <w:tcW w:type="dxa" w:w="1728"/>
            <w:shd w:fill="FFFFFF"/>
            <w:tcMar>
              <w:top w:w="100" w:type="dxa"/>
              <w:bottom w:w="100" w:type="dxa"/>
              <w:left w:w="140" w:type="dxa"/>
              <w:right w:w="140" w:type="dxa"/>
            </w:tcMar>
          </w:tcPr>
          <w:p>
            <w:pPr>
              <w:jc w:val="left"/>
            </w:pPr>
            <w:r>
              <w:rPr>
                <w:rFonts w:ascii="Calibri" w:hAnsi="Calibri"/>
                <w:color w:val="2D3748"/>
                <w:sz w:val="19"/>
              </w:rPr>
              <w:t>Section 3</w:t>
            </w:r>
          </w:p>
        </w:tc>
        <w:tc>
          <w:tcPr>
            <w:tcW w:type="dxa" w:w="6192"/>
            <w:shd w:fill="FFFFFF"/>
            <w:tcMar>
              <w:top w:w="100" w:type="dxa"/>
              <w:bottom w:w="100" w:type="dxa"/>
              <w:left w:w="140" w:type="dxa"/>
              <w:right w:w="140" w:type="dxa"/>
            </w:tcMar>
          </w:tcPr>
          <w:p>
            <w:pPr>
              <w:jc w:val="left"/>
            </w:pPr>
            <w:r>
              <w:rPr>
                <w:rFonts w:ascii="Calibri" w:hAnsi="Calibri"/>
                <w:color w:val="2D3748"/>
                <w:sz w:val="19"/>
              </w:rPr>
              <w:t>System Architecture &amp; Software Engineering Implementation</w:t>
            </w:r>
          </w:p>
        </w:tc>
        <w:tc>
          <w:tcPr>
            <w:tcW w:type="dxa" w:w="1440"/>
            <w:shd w:fill="FFFFFF"/>
            <w:tcMar>
              <w:top w:w="100" w:type="dxa"/>
              <w:bottom w:w="100" w:type="dxa"/>
              <w:left w:w="140" w:type="dxa"/>
              <w:right w:w="140" w:type="dxa"/>
            </w:tcMar>
          </w:tcPr>
          <w:p>
            <w:pPr>
              <w:jc w:val="left"/>
            </w:pPr>
            <w:r>
              <w:rPr>
                <w:rFonts w:ascii="Calibri" w:hAnsi="Calibri"/>
                <w:color w:val="2D3748"/>
                <w:sz w:val="19"/>
              </w:rPr>
              <w:t>Page 8</w:t>
            </w:r>
          </w:p>
        </w:tc>
      </w:tr>
      <w:tr>
        <w:tc>
          <w:tcPr>
            <w:tcW w:type="dxa" w:w="1728"/>
            <w:shd w:fill="F8FAFC"/>
            <w:tcMar>
              <w:top w:w="100" w:type="dxa"/>
              <w:bottom w:w="100" w:type="dxa"/>
              <w:left w:w="140" w:type="dxa"/>
              <w:right w:w="140" w:type="dxa"/>
            </w:tcMar>
          </w:tcPr>
          <w:p>
            <w:pPr>
              <w:jc w:val="left"/>
            </w:pPr>
            <w:r>
              <w:rPr>
                <w:rFonts w:ascii="Calibri" w:hAnsi="Calibri"/>
                <w:color w:val="2D3748"/>
                <w:sz w:val="19"/>
              </w:rPr>
              <w:t>Section 4</w:t>
            </w:r>
          </w:p>
        </w:tc>
        <w:tc>
          <w:tcPr>
            <w:tcW w:type="dxa" w:w="6192"/>
            <w:shd w:fill="F8FAFC"/>
            <w:tcMar>
              <w:top w:w="100" w:type="dxa"/>
              <w:bottom w:w="100" w:type="dxa"/>
              <w:left w:w="140" w:type="dxa"/>
              <w:right w:w="140" w:type="dxa"/>
            </w:tcMar>
          </w:tcPr>
          <w:p>
            <w:pPr>
              <w:jc w:val="left"/>
            </w:pPr>
            <w:r>
              <w:rPr>
                <w:rFonts w:ascii="Calibri" w:hAnsi="Calibri"/>
                <w:color w:val="2D3748"/>
                <w:sz w:val="19"/>
              </w:rPr>
              <w:t>Business Operations, Fulfillment &amp; Workflow Engineering</w:t>
            </w:r>
          </w:p>
        </w:tc>
        <w:tc>
          <w:tcPr>
            <w:tcW w:type="dxa" w:w="1440"/>
            <w:shd w:fill="F8FAFC"/>
            <w:tcMar>
              <w:top w:w="100" w:type="dxa"/>
              <w:bottom w:w="100" w:type="dxa"/>
              <w:left w:w="140" w:type="dxa"/>
              <w:right w:w="140" w:type="dxa"/>
            </w:tcMar>
          </w:tcPr>
          <w:p>
            <w:pPr>
              <w:jc w:val="left"/>
            </w:pPr>
            <w:r>
              <w:rPr>
                <w:rFonts w:ascii="Calibri" w:hAnsi="Calibri"/>
                <w:color w:val="2D3748"/>
                <w:sz w:val="19"/>
              </w:rPr>
              <w:t>Page 13</w:t>
            </w:r>
          </w:p>
        </w:tc>
      </w:tr>
      <w:tr>
        <w:tc>
          <w:tcPr>
            <w:tcW w:type="dxa" w:w="1728"/>
            <w:shd w:fill="FFFFFF"/>
            <w:tcMar>
              <w:top w:w="100" w:type="dxa"/>
              <w:bottom w:w="100" w:type="dxa"/>
              <w:left w:w="140" w:type="dxa"/>
              <w:right w:w="140" w:type="dxa"/>
            </w:tcMar>
          </w:tcPr>
          <w:p>
            <w:pPr>
              <w:jc w:val="left"/>
            </w:pPr>
            <w:r>
              <w:rPr>
                <w:rFonts w:ascii="Calibri" w:hAnsi="Calibri"/>
                <w:color w:val="2D3748"/>
                <w:sz w:val="19"/>
              </w:rPr>
              <w:t>Section 5</w:t>
            </w:r>
          </w:p>
        </w:tc>
        <w:tc>
          <w:tcPr>
            <w:tcW w:type="dxa" w:w="6192"/>
            <w:shd w:fill="FFFFFF"/>
            <w:tcMar>
              <w:top w:w="100" w:type="dxa"/>
              <w:bottom w:w="100" w:type="dxa"/>
              <w:left w:w="140" w:type="dxa"/>
              <w:right w:w="140" w:type="dxa"/>
            </w:tcMar>
          </w:tcPr>
          <w:p>
            <w:pPr>
              <w:jc w:val="left"/>
            </w:pPr>
            <w:r>
              <w:rPr>
                <w:rFonts w:ascii="Calibri" w:hAnsi="Calibri"/>
                <w:color w:val="2D3748"/>
                <w:sz w:val="19"/>
              </w:rPr>
              <w:t>Financial Model, Revenue Strategy &amp; Promotional Economics</w:t>
            </w:r>
          </w:p>
        </w:tc>
        <w:tc>
          <w:tcPr>
            <w:tcW w:type="dxa" w:w="1440"/>
            <w:shd w:fill="FFFFFF"/>
            <w:tcMar>
              <w:top w:w="100" w:type="dxa"/>
              <w:bottom w:w="100" w:type="dxa"/>
              <w:left w:w="140" w:type="dxa"/>
              <w:right w:w="140" w:type="dxa"/>
            </w:tcMar>
          </w:tcPr>
          <w:p>
            <w:pPr>
              <w:jc w:val="left"/>
            </w:pPr>
            <w:r>
              <w:rPr>
                <w:rFonts w:ascii="Calibri" w:hAnsi="Calibri"/>
                <w:color w:val="2D3748"/>
                <w:sz w:val="19"/>
              </w:rPr>
              <w:t>Page 16</w:t>
            </w:r>
          </w:p>
        </w:tc>
      </w:tr>
      <w:tr>
        <w:tc>
          <w:tcPr>
            <w:tcW w:type="dxa" w:w="1728"/>
            <w:shd w:fill="F8FAFC"/>
            <w:tcMar>
              <w:top w:w="100" w:type="dxa"/>
              <w:bottom w:w="100" w:type="dxa"/>
              <w:left w:w="140" w:type="dxa"/>
              <w:right w:w="140" w:type="dxa"/>
            </w:tcMar>
          </w:tcPr>
          <w:p>
            <w:pPr>
              <w:jc w:val="left"/>
            </w:pPr>
            <w:r>
              <w:rPr>
                <w:rFonts w:ascii="Calibri" w:hAnsi="Calibri"/>
                <w:color w:val="2D3748"/>
                <w:sz w:val="19"/>
              </w:rPr>
              <w:t>Section 6</w:t>
            </w:r>
          </w:p>
        </w:tc>
        <w:tc>
          <w:tcPr>
            <w:tcW w:type="dxa" w:w="6192"/>
            <w:shd w:fill="F8FAFC"/>
            <w:tcMar>
              <w:top w:w="100" w:type="dxa"/>
              <w:bottom w:w="100" w:type="dxa"/>
              <w:left w:w="140" w:type="dxa"/>
              <w:right w:w="140" w:type="dxa"/>
            </w:tcMar>
          </w:tcPr>
          <w:p>
            <w:pPr>
              <w:jc w:val="left"/>
            </w:pPr>
            <w:r>
              <w:rPr>
                <w:rFonts w:ascii="Calibri" w:hAnsi="Calibri"/>
                <w:color w:val="2D3748"/>
                <w:sz w:val="19"/>
              </w:rPr>
              <w:t>Risk Assessment, Cybersecurity &amp; Scalability Roadmap</w:t>
            </w:r>
          </w:p>
        </w:tc>
        <w:tc>
          <w:tcPr>
            <w:tcW w:type="dxa" w:w="1440"/>
            <w:shd w:fill="F8FAFC"/>
            <w:tcMar>
              <w:top w:w="100" w:type="dxa"/>
              <w:bottom w:w="100" w:type="dxa"/>
              <w:left w:w="140" w:type="dxa"/>
              <w:right w:w="140" w:type="dxa"/>
            </w:tcMar>
          </w:tcPr>
          <w:p>
            <w:pPr>
              <w:jc w:val="left"/>
            </w:pPr>
            <w:r>
              <w:rPr>
                <w:rFonts w:ascii="Calibri" w:hAnsi="Calibri"/>
                <w:color w:val="2D3748"/>
                <w:sz w:val="19"/>
              </w:rPr>
              <w:t>Page 19</w:t>
            </w:r>
          </w:p>
        </w:tc>
      </w:tr>
      <w:tr>
        <w:tc>
          <w:tcPr>
            <w:tcW w:type="dxa" w:w="1728"/>
            <w:shd w:fill="FFFFFF"/>
            <w:tcMar>
              <w:top w:w="100" w:type="dxa"/>
              <w:bottom w:w="100" w:type="dxa"/>
              <w:left w:w="140" w:type="dxa"/>
              <w:right w:w="140" w:type="dxa"/>
            </w:tcMar>
          </w:tcPr>
          <w:p>
            <w:pPr>
              <w:jc w:val="left"/>
            </w:pPr>
            <w:r>
              <w:rPr>
                <w:rFonts w:ascii="Calibri" w:hAnsi="Calibri"/>
                <w:color w:val="2D3748"/>
                <w:sz w:val="19"/>
              </w:rPr>
              <w:t>Section 7</w:t>
            </w:r>
          </w:p>
        </w:tc>
        <w:tc>
          <w:tcPr>
            <w:tcW w:type="dxa" w:w="6192"/>
            <w:shd w:fill="FFFFFF"/>
            <w:tcMar>
              <w:top w:w="100" w:type="dxa"/>
              <w:bottom w:w="100" w:type="dxa"/>
              <w:left w:w="140" w:type="dxa"/>
              <w:right w:w="140" w:type="dxa"/>
            </w:tcMar>
          </w:tcPr>
          <w:p>
            <w:pPr>
              <w:jc w:val="left"/>
            </w:pPr>
            <w:r>
              <w:rPr>
                <w:rFonts w:ascii="Calibri" w:hAnsi="Calibri"/>
                <w:color w:val="2D3748"/>
                <w:sz w:val="19"/>
              </w:rPr>
              <w:t>Course Project Synthesis, Demonstration Guide &amp; Conclusion</w:t>
            </w:r>
          </w:p>
        </w:tc>
        <w:tc>
          <w:tcPr>
            <w:tcW w:type="dxa" w:w="1440"/>
            <w:shd w:fill="FFFFFF"/>
            <w:tcMar>
              <w:top w:w="100" w:type="dxa"/>
              <w:bottom w:w="100" w:type="dxa"/>
              <w:left w:w="140" w:type="dxa"/>
              <w:right w:w="140" w:type="dxa"/>
            </w:tcMar>
          </w:tcPr>
          <w:p>
            <w:pPr>
              <w:jc w:val="left"/>
            </w:pPr>
            <w:r>
              <w:rPr>
                <w:rFonts w:ascii="Calibri" w:hAnsi="Calibri"/>
                <w:color w:val="2D3748"/>
                <w:sz w:val="19"/>
              </w:rPr>
              <w:t>Page 22</w:t>
            </w:r>
          </w:p>
        </w:tc>
      </w:tr>
      <w:tr>
        <w:tc>
          <w:tcPr>
            <w:tcW w:type="dxa" w:w="1728"/>
            <w:shd w:fill="F8FAFC"/>
            <w:tcMar>
              <w:top w:w="100" w:type="dxa"/>
              <w:bottom w:w="100" w:type="dxa"/>
              <w:left w:w="140" w:type="dxa"/>
              <w:right w:w="140" w:type="dxa"/>
            </w:tcMar>
          </w:tcPr>
          <w:p>
            <w:pPr>
              <w:jc w:val="left"/>
            </w:pPr>
            <w:r>
              <w:rPr>
                <w:rFonts w:ascii="Calibri" w:hAnsi="Calibri"/>
                <w:color w:val="2D3748"/>
                <w:sz w:val="19"/>
              </w:rPr>
              <w:t>Appendix</w:t>
            </w:r>
          </w:p>
        </w:tc>
        <w:tc>
          <w:tcPr>
            <w:tcW w:type="dxa" w:w="6192"/>
            <w:shd w:fill="F8FAFC"/>
            <w:tcMar>
              <w:top w:w="100" w:type="dxa"/>
              <w:bottom w:w="100" w:type="dxa"/>
              <w:left w:w="140" w:type="dxa"/>
              <w:right w:w="140" w:type="dxa"/>
            </w:tcMar>
          </w:tcPr>
          <w:p>
            <w:pPr>
              <w:jc w:val="left"/>
            </w:pPr>
            <w:r>
              <w:rPr>
                <w:rFonts w:ascii="Calibri" w:hAnsi="Calibri"/>
                <w:color w:val="2D3748"/>
                <w:sz w:val="19"/>
              </w:rPr>
              <w:t>Prototype Verification, Default Credentials &amp; Source Code Manifest</w:t>
            </w:r>
          </w:p>
        </w:tc>
        <w:tc>
          <w:tcPr>
            <w:tcW w:type="dxa" w:w="1440"/>
            <w:shd w:fill="F8FAFC"/>
            <w:tcMar>
              <w:top w:w="100" w:type="dxa"/>
              <w:bottom w:w="100" w:type="dxa"/>
              <w:left w:w="140" w:type="dxa"/>
              <w:right w:w="140" w:type="dxa"/>
            </w:tcMar>
          </w:tcPr>
          <w:p>
            <w:pPr>
              <w:jc w:val="left"/>
            </w:pPr>
            <w:r>
              <w:rPr>
                <w:rFonts w:ascii="Calibri" w:hAnsi="Calibri"/>
                <w:color w:val="2D3748"/>
                <w:sz w:val="19"/>
              </w:rPr>
              <w:t>Page 24</w:t>
            </w:r>
          </w:p>
        </w:tc>
      </w:tr>
    </w:tbl>
    <w:p>
      <w:pPr>
        <w:spacing w:after="120"/>
      </w:pPr>
    </w:p>
    <w:p>
      <w:r>
        <w:br w:type="page"/>
      </w:r>
    </w:p>
    <w:p>
      <w:pPr>
        <w:keepNext/>
        <w:spacing w:before="440" w:after="160"/>
      </w:pPr>
      <w:r>
        <w:rPr>
          <w:rFonts w:ascii="Arial" w:hAnsi="Arial"/>
          <w:b/>
          <w:color w:val="0F294A"/>
          <w:sz w:val="32"/>
        </w:rPr>
        <w:t>1. Business Concept, Brand Identity &amp; Market Positioning</w:t>
      </w:r>
    </w:p>
    <w:p>
      <w:pPr>
        <w:keepNext/>
        <w:spacing w:before="280" w:after="120"/>
      </w:pPr>
      <w:r>
        <w:rPr>
          <w:rFonts w:ascii="Arial" w:hAnsi="Arial"/>
          <w:b/>
          <w:color w:val="9A7B38"/>
          <w:sz w:val="25"/>
        </w:rPr>
        <w:t>1.1 Company Overview &amp; Vision</w:t>
      </w:r>
    </w:p>
    <w:p>
      <w:pPr>
        <w:spacing w:after="120" w:line="283" w:lineRule="auto"/>
      </w:pPr>
      <w:r>
        <w:rPr>
          <w:rFonts w:ascii="Calibri" w:hAnsi="Calibri"/>
          <w:color w:val="2D3748"/>
          <w:sz w:val="21"/>
        </w:rPr>
        <w:t>Valenti Atelier Ltd. is an independent, digitally native luxury fashion house established to bridge the divide between bespoke Savile Row architectural tailoring and contemporary, functional streetwear. The brand operates on a pure Direct-to-Consumer (B2C) model, bypassing traditional wholesale distribution to deliver exceptional material craftsmanship directly to consumers worldwide.</w:t>
      </w:r>
    </w:p>
    <w:p>
      <w:pPr>
        <w:spacing w:after="120" w:line="283" w:lineRule="auto"/>
      </w:pPr>
      <w:r>
        <w:rPr>
          <w:rFonts w:ascii="Calibri" w:hAnsi="Calibri"/>
          <w:b/>
          <w:color w:val="0F294A"/>
          <w:sz w:val="21"/>
        </w:rPr>
        <w:t xml:space="preserve">Brand Mission: </w:t>
      </w:r>
      <w:r>
        <w:rPr>
          <w:rFonts w:ascii="Calibri" w:hAnsi="Calibri"/>
          <w:color w:val="2D3748"/>
          <w:sz w:val="21"/>
        </w:rPr>
        <w:t>Mission Statement: To democratize access to world-class sartorial tailoring and refined silk apparel by eliminating supply chain bloat through proprietary digital commerce technologies.</w:t>
      </w:r>
    </w:p>
    <w:p>
      <w:pPr>
        <w:spacing w:after="120" w:line="283" w:lineRule="auto"/>
      </w:pPr>
      <w:r>
        <w:rPr>
          <w:rFonts w:ascii="Calibri" w:hAnsi="Calibri"/>
          <w:b/>
          <w:color w:val="0F294A"/>
          <w:sz w:val="21"/>
        </w:rPr>
        <w:t xml:space="preserve">Strategic Vision: </w:t>
      </w:r>
      <w:r>
        <w:rPr>
          <w:rFonts w:ascii="Calibri" w:hAnsi="Calibri"/>
          <w:color w:val="2D3748"/>
          <w:sz w:val="21"/>
        </w:rPr>
        <w:t>Vision: To become the premier benchmark for digitally native, technology-enabled luxury fashion, celebrated for radical pricing transparency, sustainable capsule production, and intuitive digital clienteling.</w:t>
      </w:r>
    </w:p>
    <w:p>
      <w:pPr>
        <w:keepNext/>
        <w:spacing w:before="280" w:after="120"/>
      </w:pPr>
      <w:r>
        <w:rPr>
          <w:rFonts w:ascii="Arial" w:hAnsi="Arial"/>
          <w:b/>
          <w:color w:val="9A7B38"/>
          <w:sz w:val="25"/>
        </w:rPr>
        <w:t>1.2 Industry Context &amp; The B2C Market Opportunity</w:t>
      </w:r>
    </w:p>
    <w:p>
      <w:pPr>
        <w:spacing w:after="120" w:line="283" w:lineRule="auto"/>
      </w:pPr>
      <w:r>
        <w:rPr>
          <w:rFonts w:ascii="Calibri" w:hAnsi="Calibri"/>
          <w:color w:val="2D3748"/>
          <w:sz w:val="21"/>
        </w:rPr>
        <w:t>The global apparel market has undergone a decisive structural transition. While legacy retail brands continue to struggle with store overheads, unpredictable foot traffic, and aggressive promotional discounting from third-party wholesale partners, digital-first luxury labels have achieved unprecedented agility. According to global retail research, the online luxury goods segment is projected to exceed £110 billion in transaction volume by 2028, with direct brand-to-consumer portals capturing over 45% of total digital sales.</w:t>
      </w:r>
    </w:p>
    <w:p>
      <w:pPr>
        <w:spacing w:after="120" w:line="283" w:lineRule="auto"/>
      </w:pPr>
      <w:r>
        <w:rPr>
          <w:rFonts w:ascii="Calibri" w:hAnsi="Calibri"/>
          <w:color w:val="2D3748"/>
          <w:sz w:val="21"/>
        </w:rPr>
        <w:t>Traditional luxury supply chains are notoriously burdened by compounding markups: a coat manufactured at £120 is sold to a distributor for £240, marked up to wholesale at £480, and finally retailed in department stores for £1,200. By establishing a direct digital connection with consumers via its proprietary portal, Valenti Atelier delivers garments of identical or superior material pedigree at £350–£550, while retaining an enviable 65–70% gross operational margin.</w:t>
      </w:r>
    </w:p>
    <w:p>
      <w:pPr>
        <w:keepNext/>
        <w:spacing w:before="280" w:after="120"/>
      </w:pPr>
      <w:r>
        <w:rPr>
          <w:rFonts w:ascii="Arial" w:hAnsi="Arial"/>
          <w:b/>
          <w:color w:val="9A7B38"/>
          <w:sz w:val="25"/>
        </w:rPr>
        <w:t>1.3 Target Audience &amp; Patron Personas</w:t>
      </w:r>
    </w:p>
    <w:p>
      <w:pPr>
        <w:spacing w:after="120" w:line="283" w:lineRule="auto"/>
      </w:pPr>
      <w:r>
        <w:rPr>
          <w:rFonts w:ascii="Calibri" w:hAnsi="Calibri"/>
          <w:color w:val="2D3748"/>
          <w:sz w:val="21"/>
        </w:rPr>
        <w:t>Valenti Atelier caters to a discerning, tech-savvy consumer cohort characterized by an appreciation for high-end tailoring, minimalist aesthetics, and frictionless digital experiences:</w:t>
      </w:r>
    </w:p>
    <w:p>
      <w:pPr>
        <w:pStyle w:val="ListBullet"/>
        <w:spacing w:after="60" w:line="276" w:lineRule="auto"/>
      </w:pPr>
      <w:r>
        <w:rPr>
          <w:rFonts w:ascii="Calibri" w:hAnsi="Calibri"/>
          <w:b/>
          <w:color w:val="0F294A"/>
          <w:sz w:val="21"/>
        </w:rPr>
        <w:t xml:space="preserve">Primary Persona (The Discerning Creative): </w:t>
      </w:r>
      <w:r>
        <w:rPr>
          <w:rFonts w:ascii="Calibri" w:hAnsi="Calibri"/>
          <w:color w:val="2D3748"/>
          <w:sz w:val="21"/>
        </w:rPr>
        <w:t>Demographic: Men and women aged 24–45, urban professionals, corporate executives, creative agency leads, tech founders, and design connoisseurs.</w:t>
      </w:r>
    </w:p>
    <w:p>
      <w:pPr>
        <w:pStyle w:val="ListBullet"/>
        <w:spacing w:after="60" w:line="276" w:lineRule="auto"/>
      </w:pPr>
      <w:r>
        <w:rPr>
          <w:rFonts w:ascii="Calibri" w:hAnsi="Calibri"/>
          <w:b/>
          <w:color w:val="0F294A"/>
          <w:sz w:val="21"/>
        </w:rPr>
        <w:t xml:space="preserve">Shopping Preferences: </w:t>
      </w:r>
      <w:r>
        <w:rPr>
          <w:rFonts w:ascii="Calibri" w:hAnsi="Calibri"/>
          <w:color w:val="2D3748"/>
          <w:sz w:val="21"/>
        </w:rPr>
        <w:t>Behavioral Drivers: High digital literacy, values material origin transparency (Mongolian cashmere, Japanese raw denim, pure Mulberry silk), expects mobile-first checkout speed, and values bespoke customer service.</w:t>
      </w:r>
    </w:p>
    <w:p>
      <w:pPr>
        <w:pStyle w:val="ListBullet"/>
        <w:spacing w:after="60" w:line="276" w:lineRule="auto"/>
      </w:pPr>
      <w:r>
        <w:rPr>
          <w:rFonts w:ascii="Calibri" w:hAnsi="Calibri"/>
          <w:b/>
          <w:color w:val="0F294A"/>
          <w:sz w:val="21"/>
        </w:rPr>
        <w:t xml:space="preserve">Geographic Reach: </w:t>
      </w:r>
      <w:r>
        <w:rPr>
          <w:rFonts w:ascii="Calibri" w:hAnsi="Calibri"/>
          <w:color w:val="2D3748"/>
          <w:sz w:val="21"/>
        </w:rPr>
        <w:t>Geographic Focus: Initial primary market focused on the United Kingdom and Western Europe (Pound Sterling base currency: £), with scheduled expansion into North American and GCC luxury corridors.</w:t>
      </w:r>
    </w:p>
    <w:p>
      <w:r>
        <w:br w:type="page"/>
      </w:r>
    </w:p>
    <w:p>
      <w:pPr>
        <w:keepNext/>
        <w:spacing w:before="440" w:after="160"/>
      </w:pPr>
      <w:r>
        <w:rPr>
          <w:rFonts w:ascii="Arial" w:hAnsi="Arial"/>
          <w:b/>
          <w:color w:val="0F294A"/>
          <w:sz w:val="32"/>
        </w:rPr>
        <w:t>2. IT Value Creation Framework (SEN 803 Table 1 Alignment)</w:t>
      </w:r>
    </w:p>
    <w:p>
      <w:pPr>
        <w:spacing w:after="120" w:line="283" w:lineRule="auto"/>
      </w:pPr>
      <w:r>
        <w:rPr>
          <w:rFonts w:ascii="Calibri" w:hAnsi="Calibri"/>
          <w:color w:val="2D3748"/>
          <w:sz w:val="21"/>
        </w:rPr>
        <w:t>The central mandate of the SEN 803 Software Technology project brief requires students to demonstrate how a newly established B2C trading firm leverages Information Technology (IT) to generate economic value. In accordance with Table 1 of the assignment specification—specifically Operations Type 1: Online Shop (Production or buying and selling products)—Valenti Atelier has designed and built a software architecture that establishes strategic advantage across four fundamental business operations.</w:t>
      </w:r>
    </w:p>
    <w:tbl>
      <w:tblPr>
        <w:tblW w:type="auto" w:w="0"/>
        <w:jc w:val="center"/>
        <w:tblLook w:firstColumn="1" w:firstRow="1" w:lastColumn="0" w:lastRow="0" w:noHBand="0" w:noVBand="1" w:val="04A0"/>
      </w:tblPr>
      <w:tblGrid>
        <w:gridCol w:w="3120"/>
        <w:gridCol w:w="3120"/>
        <w:gridCol w:w="3120"/>
      </w:tblGrid>
      <w:tr>
        <w:tc>
          <w:tcPr>
            <w:tcW w:type="dxa" w:w="2304"/>
            <w:shd w:fill="0F294A"/>
            <w:tcMar>
              <w:top w:w="120" w:type="dxa"/>
              <w:bottom w:w="120" w:type="dxa"/>
              <w:left w:w="140" w:type="dxa"/>
              <w:right w:w="140" w:type="dxa"/>
            </w:tcMar>
          </w:tcPr>
          <w:p>
            <w:pPr>
              <w:jc w:val="left"/>
            </w:pPr>
            <w:r>
              <w:rPr>
                <w:rFonts w:ascii="Arial" w:hAnsi="Arial"/>
                <w:b/>
                <w:color w:val="FFFFFF"/>
                <w:sz w:val="19"/>
              </w:rPr>
              <w:t>Operational Pillar</w:t>
            </w:r>
          </w:p>
        </w:tc>
        <w:tc>
          <w:tcPr>
            <w:tcW w:type="dxa" w:w="3888"/>
            <w:shd w:fill="0F294A"/>
            <w:tcMar>
              <w:top w:w="120" w:type="dxa"/>
              <w:bottom w:w="120" w:type="dxa"/>
              <w:left w:w="140" w:type="dxa"/>
              <w:right w:w="140" w:type="dxa"/>
            </w:tcMar>
          </w:tcPr>
          <w:p>
            <w:pPr>
              <w:jc w:val="left"/>
            </w:pPr>
            <w:r>
              <w:rPr>
                <w:rFonts w:ascii="Arial" w:hAnsi="Arial"/>
                <w:b/>
                <w:color w:val="FFFFFF"/>
                <w:sz w:val="19"/>
              </w:rPr>
              <w:t>Software Portal Functionality</w:t>
            </w:r>
          </w:p>
        </w:tc>
        <w:tc>
          <w:tcPr>
            <w:tcW w:type="dxa" w:w="3168"/>
            <w:shd w:fill="0F294A"/>
            <w:tcMar>
              <w:top w:w="120" w:type="dxa"/>
              <w:bottom w:w="120" w:type="dxa"/>
              <w:left w:w="140" w:type="dxa"/>
              <w:right w:w="140" w:type="dxa"/>
            </w:tcMar>
          </w:tcPr>
          <w:p>
            <w:pPr>
              <w:jc w:val="left"/>
            </w:pPr>
            <w:r>
              <w:rPr>
                <w:rFonts w:ascii="Arial" w:hAnsi="Arial"/>
                <w:b/>
                <w:color w:val="FFFFFF"/>
                <w:sz w:val="19"/>
              </w:rPr>
              <w:t>Strategic Value Created</w:t>
            </w:r>
          </w:p>
        </w:tc>
      </w:tr>
      <w:tr>
        <w:tc>
          <w:tcPr>
            <w:tcW w:type="dxa" w:w="2304"/>
            <w:shd w:fill="FFFFFF"/>
            <w:tcMar>
              <w:top w:w="100" w:type="dxa"/>
              <w:bottom w:w="100" w:type="dxa"/>
              <w:left w:w="140" w:type="dxa"/>
              <w:right w:w="140" w:type="dxa"/>
            </w:tcMar>
          </w:tcPr>
          <w:p>
            <w:pPr>
              <w:jc w:val="left"/>
            </w:pPr>
            <w:r>
              <w:rPr>
                <w:rFonts w:ascii="Calibri" w:hAnsi="Calibri"/>
                <w:color w:val="2D3748"/>
                <w:sz w:val="19"/>
              </w:rPr>
              <w:t>1. Digital Merchandising</w:t>
              <w:br/>
              <w:t>&amp; Interactive Retailing</w:t>
            </w:r>
          </w:p>
        </w:tc>
        <w:tc>
          <w:tcPr>
            <w:tcW w:type="dxa" w:w="3888"/>
            <w:shd w:fill="FFFFFF"/>
            <w:tcMar>
              <w:top w:w="100" w:type="dxa"/>
              <w:bottom w:w="100" w:type="dxa"/>
              <w:left w:w="140" w:type="dxa"/>
              <w:right w:w="140" w:type="dxa"/>
            </w:tcMar>
          </w:tcPr>
          <w:p>
            <w:pPr>
              <w:jc w:val="left"/>
            </w:pPr>
            <w:r>
              <w:rPr>
                <w:rFonts w:ascii="Calibri" w:hAnsi="Calibri"/>
                <w:color w:val="2D3748"/>
                <w:sz w:val="19"/>
              </w:rPr>
              <w:t>• High-resolution editorial photography</w:t>
              <w:br/>
              <w:t>• Multi-facet catalog filtering (Category, Gender, Size, Price)</w:t>
              <w:br/>
              <w:t>• Dynamic stock scarcity counters</w:t>
              <w:br/>
              <w:t>• Verified patron fitting reviews</w:t>
            </w:r>
          </w:p>
        </w:tc>
        <w:tc>
          <w:tcPr>
            <w:tcW w:type="dxa" w:w="3168"/>
            <w:shd w:fill="FFFFFF"/>
            <w:tcMar>
              <w:top w:w="100" w:type="dxa"/>
              <w:bottom w:w="100" w:type="dxa"/>
              <w:left w:w="140" w:type="dxa"/>
              <w:right w:w="140" w:type="dxa"/>
            </w:tcMar>
          </w:tcPr>
          <w:p>
            <w:pPr>
              <w:jc w:val="left"/>
            </w:pPr>
            <w:r>
              <w:rPr>
                <w:rFonts w:ascii="Calibri" w:hAnsi="Calibri"/>
                <w:color w:val="2D3748"/>
                <w:sz w:val="19"/>
              </w:rPr>
              <w:t>Eliminates physical showroom limitations; empowers instant product discovery; creates psychological urgency; reduces size-related return rates.</w:t>
            </w:r>
          </w:p>
        </w:tc>
      </w:tr>
      <w:tr>
        <w:tc>
          <w:tcPr>
            <w:tcW w:type="dxa" w:w="2304"/>
            <w:shd w:fill="F8FAFC"/>
            <w:tcMar>
              <w:top w:w="100" w:type="dxa"/>
              <w:bottom w:w="100" w:type="dxa"/>
              <w:left w:w="140" w:type="dxa"/>
              <w:right w:w="140" w:type="dxa"/>
            </w:tcMar>
          </w:tcPr>
          <w:p>
            <w:pPr>
              <w:jc w:val="left"/>
            </w:pPr>
            <w:r>
              <w:rPr>
                <w:rFonts w:ascii="Calibri" w:hAnsi="Calibri"/>
                <w:color w:val="2D3748"/>
                <w:sz w:val="19"/>
              </w:rPr>
              <w:t>2. Frictionless Conversion</w:t>
              <w:br/>
              <w:t>&amp; Automated Transactions</w:t>
            </w:r>
          </w:p>
        </w:tc>
        <w:tc>
          <w:tcPr>
            <w:tcW w:type="dxa" w:w="3888"/>
            <w:shd w:fill="F8FAFC"/>
            <w:tcMar>
              <w:top w:w="100" w:type="dxa"/>
              <w:bottom w:w="100" w:type="dxa"/>
              <w:left w:w="140" w:type="dxa"/>
              <w:right w:w="140" w:type="dxa"/>
            </w:tcMar>
          </w:tcPr>
          <w:p>
            <w:pPr>
              <w:jc w:val="left"/>
            </w:pPr>
            <w:r>
              <w:rPr>
                <w:rFonts w:ascii="Calibri" w:hAnsi="Calibri"/>
                <w:color w:val="2D3748"/>
                <w:sz w:val="19"/>
              </w:rPr>
              <w:t>• Asynchronous shopping bag engine</w:t>
              <w:br/>
              <w:t>• Algorithmic promotional voucher engine (SEN803, WELCOME10)</w:t>
              <w:br/>
              <w:t>• Dynamic tax &amp; shipping threshold computation</w:t>
              <w:br/>
              <w:t>• Simulated multi-rail payment gateway</w:t>
            </w:r>
          </w:p>
        </w:tc>
        <w:tc>
          <w:tcPr>
            <w:tcW w:type="dxa" w:w="3168"/>
            <w:shd w:fill="F8FAFC"/>
            <w:tcMar>
              <w:top w:w="100" w:type="dxa"/>
              <w:bottom w:w="100" w:type="dxa"/>
              <w:left w:w="140" w:type="dxa"/>
              <w:right w:w="140" w:type="dxa"/>
            </w:tcMar>
          </w:tcPr>
          <w:p>
            <w:pPr>
              <w:jc w:val="left"/>
            </w:pPr>
            <w:r>
              <w:rPr>
                <w:rFonts w:ascii="Calibri" w:hAnsi="Calibri"/>
                <w:color w:val="2D3748"/>
                <w:sz w:val="19"/>
              </w:rPr>
              <w:t>Minimizes cart abandonment; automates academic and VIP marketing promotions; accelerates checkout throughput; ensures transparent price breakdown.</w:t>
            </w:r>
          </w:p>
        </w:tc>
      </w:tr>
      <w:tr>
        <w:tc>
          <w:tcPr>
            <w:tcW w:type="dxa" w:w="2304"/>
            <w:shd w:fill="FFFFFF"/>
            <w:tcMar>
              <w:top w:w="100" w:type="dxa"/>
              <w:bottom w:w="100" w:type="dxa"/>
              <w:left w:w="140" w:type="dxa"/>
              <w:right w:w="140" w:type="dxa"/>
            </w:tcMar>
          </w:tcPr>
          <w:p>
            <w:pPr>
              <w:jc w:val="left"/>
            </w:pPr>
            <w:r>
              <w:rPr>
                <w:rFonts w:ascii="Calibri" w:hAnsi="Calibri"/>
                <w:color w:val="2D3748"/>
                <w:sz w:val="19"/>
              </w:rPr>
              <w:t>3. Logistics Transparency</w:t>
              <w:br/>
              <w:t>&amp; Customer Relationship</w:t>
            </w:r>
          </w:p>
        </w:tc>
        <w:tc>
          <w:tcPr>
            <w:tcW w:type="dxa" w:w="3888"/>
            <w:shd w:fill="FFFFFF"/>
            <w:tcMar>
              <w:top w:w="100" w:type="dxa"/>
              <w:bottom w:w="100" w:type="dxa"/>
              <w:left w:w="140" w:type="dxa"/>
              <w:right w:w="140" w:type="dxa"/>
            </w:tcMar>
          </w:tcPr>
          <w:p>
            <w:pPr>
              <w:jc w:val="left"/>
            </w:pPr>
            <w:r>
              <w:rPr>
                <w:rFonts w:ascii="Calibri" w:hAnsi="Calibri"/>
                <w:color w:val="2D3748"/>
                <w:sz w:val="19"/>
              </w:rPr>
              <w:t>• Instant official invoice / receipt generation</w:t>
              <w:br/>
              <w:t>• Interactive 4-stage order fulfillment tracker</w:t>
              <w:br/>
              <w:t>• Client profile address and history dashboard</w:t>
              <w:br/>
              <w:t>• Automated transactional state transitions</w:t>
            </w:r>
          </w:p>
        </w:tc>
        <w:tc>
          <w:tcPr>
            <w:tcW w:type="dxa" w:w="3168"/>
            <w:shd w:fill="FFFFFF"/>
            <w:tcMar>
              <w:top w:w="100" w:type="dxa"/>
              <w:bottom w:w="100" w:type="dxa"/>
              <w:left w:w="140" w:type="dxa"/>
              <w:right w:w="140" w:type="dxa"/>
            </w:tcMar>
          </w:tcPr>
          <w:p>
            <w:pPr>
              <w:jc w:val="left"/>
            </w:pPr>
            <w:r>
              <w:rPr>
                <w:rFonts w:ascii="Calibri" w:hAnsi="Calibri"/>
                <w:color w:val="2D3748"/>
                <w:sz w:val="19"/>
              </w:rPr>
              <w:t>Builds profound consumer trust; eliminates post-purchase support queries ('Where is my order?'); fosters long-term customer lifetime value (LTV).</w:t>
            </w:r>
          </w:p>
        </w:tc>
      </w:tr>
      <w:tr>
        <w:tc>
          <w:tcPr>
            <w:tcW w:type="dxa" w:w="2304"/>
            <w:shd w:fill="F8FAFC"/>
            <w:tcMar>
              <w:top w:w="100" w:type="dxa"/>
              <w:bottom w:w="100" w:type="dxa"/>
              <w:left w:w="140" w:type="dxa"/>
              <w:right w:w="140" w:type="dxa"/>
            </w:tcMar>
          </w:tcPr>
          <w:p>
            <w:pPr>
              <w:jc w:val="left"/>
            </w:pPr>
            <w:r>
              <w:rPr>
                <w:rFonts w:ascii="Calibri" w:hAnsi="Calibri"/>
                <w:color w:val="2D3748"/>
                <w:sz w:val="19"/>
              </w:rPr>
              <w:t>4. Back-Office Intelligence</w:t>
              <w:br/>
              <w:t>&amp; Operations Management</w:t>
            </w:r>
          </w:p>
        </w:tc>
        <w:tc>
          <w:tcPr>
            <w:tcW w:type="dxa" w:w="3888"/>
            <w:shd w:fill="F8FAFC"/>
            <w:tcMar>
              <w:top w:w="100" w:type="dxa"/>
              <w:bottom w:w="100" w:type="dxa"/>
              <w:left w:w="140" w:type="dxa"/>
              <w:right w:w="140" w:type="dxa"/>
            </w:tcMar>
          </w:tcPr>
          <w:p>
            <w:pPr>
              <w:jc w:val="left"/>
            </w:pPr>
            <w:r>
              <w:rPr>
                <w:rFonts w:ascii="Calibri" w:hAnsi="Calibri"/>
                <w:color w:val="2D3748"/>
                <w:sz w:val="19"/>
              </w:rPr>
              <w:t>• Real-time Executive KPI dashboard</w:t>
              <w:br/>
              <w:t>• Automated low-stock trigger warnings</w:t>
              <w:br/>
              <w:t>• Complete inventory garment CRUD engine</w:t>
              <w:br/>
              <w:t>• Single-click order dispatch controls</w:t>
            </w:r>
          </w:p>
        </w:tc>
        <w:tc>
          <w:tcPr>
            <w:tcW w:type="dxa" w:w="3168"/>
            <w:shd w:fill="F8FAFC"/>
            <w:tcMar>
              <w:top w:w="100" w:type="dxa"/>
              <w:bottom w:w="100" w:type="dxa"/>
              <w:left w:w="140" w:type="dxa"/>
              <w:right w:w="140" w:type="dxa"/>
            </w:tcMar>
          </w:tcPr>
          <w:p>
            <w:pPr>
              <w:jc w:val="left"/>
            </w:pPr>
            <w:r>
              <w:rPr>
                <w:rFonts w:ascii="Calibri" w:hAnsi="Calibri"/>
                <w:color w:val="2D3748"/>
                <w:sz w:val="19"/>
              </w:rPr>
              <w:t>Transforms raw transaction logs into executive intelligence; prevents costly stockouts; accelerates fulfillment dispatch without manual spreadsheets.</w:t>
            </w:r>
          </w:p>
        </w:tc>
      </w:tr>
    </w:tbl>
    <w:p>
      <w:pPr>
        <w:spacing w:after="120"/>
      </w:pPr>
    </w:p>
    <w:p>
      <w:pPr>
        <w:keepNext/>
        <w:spacing w:before="280" w:after="120"/>
      </w:pPr>
      <w:r>
        <w:rPr>
          <w:rFonts w:ascii="Arial" w:hAnsi="Arial"/>
          <w:b/>
          <w:color w:val="9A7B38"/>
          <w:sz w:val="25"/>
        </w:rPr>
        <w:t>2.1 Operational Pillar 1: Digital Merchandising &amp; Interactive Catalog</w:t>
      </w:r>
    </w:p>
    <w:p>
      <w:pPr>
        <w:spacing w:after="120" w:line="283" w:lineRule="auto"/>
      </w:pPr>
      <w:r>
        <w:rPr>
          <w:rFonts w:ascii="Calibri" w:hAnsi="Calibri"/>
          <w:color w:val="2D3748"/>
          <w:sz w:val="21"/>
        </w:rPr>
        <w:t>In a physical retail environment, inventory display is constrained by retail floor space and geography. Valenti Atelier's digital storefront transforms merchandising into an interactive, data-driven experience. Products are indexed across multiple relational facets: category slugs (outerwear, tailoring, knitwear, trousers, dresses, accessories), gender demographics (men, women, unisex), and garment sizing dimensions (XS through XXL).</w:t>
      </w:r>
    </w:p>
    <w:p>
      <w:pPr>
        <w:spacing w:after="120" w:line="283" w:lineRule="auto"/>
      </w:pPr>
      <w:r>
        <w:rPr>
          <w:rFonts w:ascii="Calibri" w:hAnsi="Calibri"/>
          <w:color w:val="2D3748"/>
          <w:sz w:val="21"/>
        </w:rPr>
        <w:t>Furthermore, our software implements real-time inventory counter warnings directly on garment detail pages (e.g. 'Low Stock: Only 3 units remaining!'). This architectural feature solves two simultaneous business challenges: it provides authentic inventory transparency while leveraging behavioral economics to drive timely conversion without coercive sales tactics.</w:t>
      </w:r>
    </w:p>
    <w:p>
      <w:pPr>
        <w:keepNext/>
        <w:spacing w:before="280" w:after="120"/>
      </w:pPr>
      <w:r>
        <w:rPr>
          <w:rFonts w:ascii="Arial" w:hAnsi="Arial"/>
          <w:b/>
          <w:color w:val="9A7B38"/>
          <w:sz w:val="25"/>
        </w:rPr>
        <w:t>2.2 Operational Pillar 2: Frictionless Conversion &amp; Automated Voucher Engine</w:t>
      </w:r>
    </w:p>
    <w:p>
      <w:pPr>
        <w:spacing w:after="120" w:line="283" w:lineRule="auto"/>
      </w:pPr>
      <w:r>
        <w:rPr>
          <w:rFonts w:ascii="Calibri" w:hAnsi="Calibri"/>
          <w:color w:val="2D3748"/>
          <w:sz w:val="21"/>
        </w:rPr>
        <w:t>Shopping cart abandonment is the primary source of lost revenue in B2C e-commerce, with industry averages hovering near 70%. Valenti Atelier tackles this through an optimized checkout funnel powered by client-side JavaScript micro-interactions and server-side state synchronization. Customers can adjust quantities, select garment sizes, and inspect subtotal, estimated VAT (calculated at 7.5%), and shipping costs in real-time.</w:t>
      </w:r>
    </w:p>
    <w:p>
      <w:pPr>
        <w:spacing w:after="120" w:line="283" w:lineRule="auto"/>
      </w:pPr>
      <w:r>
        <w:rPr>
          <w:rFonts w:ascii="Calibri" w:hAnsi="Calibri"/>
          <w:color w:val="2D3748"/>
          <w:sz w:val="21"/>
        </w:rPr>
        <w:t>A standout IT functionality developed for SEN 803 is the Algorithmic Promotional Engine. Stored within a dedicated relational database table (`coupons`), vouchers support percentage discounts (`percent`), flat currency deductions (`fixed`), expiry dates, and minimum spend thresholds. The system includes active promotional codes:</w:t>
      </w:r>
    </w:p>
    <w:p>
      <w:pPr>
        <w:pStyle w:val="ListBullet"/>
        <w:spacing w:after="60" w:line="276" w:lineRule="auto"/>
      </w:pPr>
      <w:r>
        <w:rPr>
          <w:rFonts w:ascii="Calibri" w:hAnsi="Calibri"/>
          <w:b/>
          <w:color w:val="0F294A"/>
          <w:sz w:val="21"/>
        </w:rPr>
        <w:t xml:space="preserve">Academic Voucher: </w:t>
      </w:r>
      <w:r>
        <w:rPr>
          <w:rFonts w:ascii="Calibri" w:hAnsi="Calibri"/>
          <w:color w:val="2D3748"/>
          <w:sz w:val="21"/>
        </w:rPr>
        <w:t>SEN803: Dedicated 20% Academic Course Discount, applicable on baskets exceeding £50.00, demonstrating automated dynamic price recalculation.</w:t>
      </w:r>
    </w:p>
    <w:p>
      <w:pPr>
        <w:pStyle w:val="ListBullet"/>
        <w:spacing w:after="60" w:line="276" w:lineRule="auto"/>
      </w:pPr>
      <w:r>
        <w:rPr>
          <w:rFonts w:ascii="Calibri" w:hAnsi="Calibri"/>
          <w:b/>
          <w:color w:val="0F294A"/>
          <w:sz w:val="21"/>
        </w:rPr>
        <w:t xml:space="preserve">New Customer Voucher: </w:t>
      </w:r>
      <w:r>
        <w:rPr>
          <w:rFonts w:ascii="Calibri" w:hAnsi="Calibri"/>
          <w:color w:val="2D3748"/>
          <w:sz w:val="21"/>
        </w:rPr>
        <w:t>WELCOME10: 10% Inaugural Order Discount designed for newly registered patrons.</w:t>
      </w:r>
    </w:p>
    <w:p>
      <w:pPr>
        <w:pStyle w:val="ListBullet"/>
        <w:spacing w:after="60" w:line="276" w:lineRule="auto"/>
      </w:pPr>
      <w:r>
        <w:rPr>
          <w:rFonts w:ascii="Calibri" w:hAnsi="Calibri"/>
          <w:b/>
          <w:color w:val="0F294A"/>
          <w:sz w:val="21"/>
        </w:rPr>
        <w:t xml:space="preserve">High-Value Cart Voucher: </w:t>
      </w:r>
      <w:r>
        <w:rPr>
          <w:rFonts w:ascii="Calibri" w:hAnsi="Calibri"/>
          <w:color w:val="2D3748"/>
          <w:sz w:val="21"/>
        </w:rPr>
        <w:t>VALENTI50: £50.00 flat discount for VIP purchases exceeding £200.00.</w:t>
      </w:r>
    </w:p>
    <w:p>
      <w:pPr>
        <w:keepNext/>
        <w:spacing w:before="280" w:after="120"/>
      </w:pPr>
      <w:r>
        <w:rPr>
          <w:rFonts w:ascii="Arial" w:hAnsi="Arial"/>
          <w:b/>
          <w:color w:val="9A7B38"/>
          <w:sz w:val="25"/>
        </w:rPr>
        <w:t>2.3 Operational Pillar 3: Logistics Transparency &amp; 4-Stage Dispatch Tracker</w:t>
      </w:r>
    </w:p>
    <w:p>
      <w:pPr>
        <w:spacing w:after="120" w:line="283" w:lineRule="auto"/>
      </w:pPr>
      <w:r>
        <w:rPr>
          <w:rFonts w:ascii="Calibri" w:hAnsi="Calibri"/>
          <w:color w:val="2D3748"/>
          <w:sz w:val="21"/>
        </w:rPr>
        <w:t>A critical consumer pain point in luxury e-tailing is post-purchase anxiety. Rather than sending vague confirmation emails, Valenti Atelier's portal generates an instant, printable tax invoice and an interactive 4-stage visual order tracking pipeline:</w:t>
      </w:r>
    </w:p>
    <w:p>
      <w:pPr>
        <w:pStyle w:val="ListBullet"/>
        <w:spacing w:after="60" w:line="276" w:lineRule="auto"/>
      </w:pPr>
      <w:r>
        <w:rPr>
          <w:rFonts w:ascii="Calibri" w:hAnsi="Calibri"/>
          <w:b/>
          <w:color w:val="0F294A"/>
          <w:sz w:val="21"/>
        </w:rPr>
        <w:t xml:space="preserve">Fulfillment Lifecycle: </w:t>
      </w:r>
      <w:r>
        <w:rPr>
          <w:rFonts w:ascii="Calibri" w:hAnsi="Calibri"/>
          <w:color w:val="2D3748"/>
          <w:sz w:val="21"/>
        </w:rPr>
        <w:t>Stage 1 — Order Placed: The payment simulation validates funds and reserves garment inventory.</w:t>
      </w:r>
    </w:p>
    <w:p>
      <w:pPr>
        <w:pStyle w:val="ListBullet"/>
        <w:spacing w:after="60" w:line="276" w:lineRule="auto"/>
      </w:pPr>
      <w:r>
        <w:rPr>
          <w:rFonts w:ascii="Calibri" w:hAnsi="Calibri"/>
          <w:b/>
          <w:color w:val="0F294A"/>
          <w:sz w:val="21"/>
        </w:rPr>
        <w:t xml:space="preserve">Atelier Packaging: </w:t>
      </w:r>
      <w:r>
        <w:rPr>
          <w:rFonts w:ascii="Calibri" w:hAnsi="Calibri"/>
          <w:color w:val="2D3748"/>
          <w:sz w:val="21"/>
        </w:rPr>
        <w:t>Stage 2 — Quality Check &amp; Boxing: Garment undergoes hand-inspection, tissue-wrapping, and placement in signature Valenti presentation boxes.</w:t>
      </w:r>
    </w:p>
    <w:p>
      <w:pPr>
        <w:pStyle w:val="ListBullet"/>
        <w:spacing w:after="60" w:line="276" w:lineRule="auto"/>
      </w:pPr>
      <w:r>
        <w:rPr>
          <w:rFonts w:ascii="Calibri" w:hAnsi="Calibri"/>
          <w:b/>
          <w:color w:val="0F294A"/>
          <w:sz w:val="21"/>
        </w:rPr>
        <w:t xml:space="preserve">Logistics Handover: </w:t>
      </w:r>
      <w:r>
        <w:rPr>
          <w:rFonts w:ascii="Calibri" w:hAnsi="Calibri"/>
          <w:color w:val="2D3748"/>
          <w:sz w:val="21"/>
        </w:rPr>
        <w:t>Stage 3 — Courier Dispatched: Assigned a real-time Royal Mail / DHL Express tracking number.</w:t>
      </w:r>
    </w:p>
    <w:p>
      <w:pPr>
        <w:pStyle w:val="ListBullet"/>
        <w:spacing w:after="60" w:line="276" w:lineRule="auto"/>
      </w:pPr>
      <w:r>
        <w:rPr>
          <w:rFonts w:ascii="Calibri" w:hAnsi="Calibri"/>
          <w:b/>
          <w:color w:val="0F294A"/>
          <w:sz w:val="21"/>
        </w:rPr>
        <w:t xml:space="preserve">Fulfillment Complete: </w:t>
      </w:r>
      <w:r>
        <w:rPr>
          <w:rFonts w:ascii="Calibri" w:hAnsi="Calibri"/>
          <w:color w:val="2D3748"/>
          <w:sz w:val="21"/>
        </w:rPr>
        <w:t>Stage 4 — Doorstep Delivery: Final delivery confirmation with customer notification.</w:t>
      </w:r>
    </w:p>
    <w:p>
      <w:pPr>
        <w:keepNext/>
        <w:spacing w:before="280" w:after="120"/>
      </w:pPr>
      <w:r>
        <w:rPr>
          <w:rFonts w:ascii="Arial" w:hAnsi="Arial"/>
          <w:b/>
          <w:color w:val="9A7B38"/>
          <w:sz w:val="25"/>
        </w:rPr>
        <w:t>2.4 Operational Pillar 4: Back-Office Operations Management Console</w:t>
      </w:r>
    </w:p>
    <w:p>
      <w:pPr>
        <w:spacing w:after="120" w:line="283" w:lineRule="auto"/>
      </w:pPr>
      <w:r>
        <w:rPr>
          <w:rFonts w:ascii="Calibri" w:hAnsi="Calibri"/>
          <w:color w:val="2D3748"/>
          <w:sz w:val="21"/>
        </w:rPr>
        <w:t>No modern B2C portal can succeed without robust administrative controls. The Valenti Atelier Operations Console (`/admin/index.php`) provides executive staff with live aggregate KPI cards: Total Gross Sales (£), Total Processed Orders, Active Product Catalog Count, and Registered Patrons. An automated low-stock watchdog highlights any garment with less than 5 units in stock, enabling proactive replenishment before revenue is lost.</w:t>
      </w:r>
    </w:p>
    <w:p>
      <w:r>
        <w:br w:type="page"/>
      </w:r>
    </w:p>
    <w:p>
      <w:pPr>
        <w:keepNext/>
        <w:spacing w:before="440" w:after="160"/>
      </w:pPr>
      <w:r>
        <w:rPr>
          <w:rFonts w:ascii="Arial" w:hAnsi="Arial"/>
          <w:b/>
          <w:color w:val="0F294A"/>
          <w:sz w:val="32"/>
        </w:rPr>
        <w:t>3. System Architecture &amp; Software Engineering Implementation</w:t>
      </w:r>
    </w:p>
    <w:p>
      <w:pPr>
        <w:keepNext/>
        <w:spacing w:before="280" w:after="120"/>
      </w:pPr>
      <w:r>
        <w:rPr>
          <w:rFonts w:ascii="Arial" w:hAnsi="Arial"/>
          <w:b/>
          <w:color w:val="9A7B38"/>
          <w:sz w:val="25"/>
        </w:rPr>
        <w:t>3.1 3-Tier Enterprise Architectural Pattern</w:t>
      </w:r>
    </w:p>
    <w:p>
      <w:pPr>
        <w:spacing w:after="120" w:line="283" w:lineRule="auto"/>
      </w:pPr>
      <w:r>
        <w:rPr>
          <w:rFonts w:ascii="Calibri" w:hAnsi="Calibri"/>
          <w:color w:val="2D3748"/>
          <w:sz w:val="21"/>
        </w:rPr>
        <w:t>The software prototype is engineered following an established 3-tier architectural paradigm, ensuring strict separation of concerns, high maintainability, and rapid page rendering performance:</w:t>
      </w:r>
    </w:p>
    <w:p>
      <w:pPr>
        <w:pStyle w:val="ListBullet"/>
        <w:spacing w:after="60" w:line="276" w:lineRule="auto"/>
      </w:pPr>
      <w:r>
        <w:rPr>
          <w:rFonts w:ascii="Calibri" w:hAnsi="Calibri"/>
          <w:b/>
          <w:color w:val="0F294A"/>
          <w:sz w:val="21"/>
        </w:rPr>
        <w:t xml:space="preserve">1. Client Tier: </w:t>
      </w:r>
      <w:r>
        <w:rPr>
          <w:rFonts w:ascii="Calibri" w:hAnsi="Calibri"/>
          <w:color w:val="2D3748"/>
          <w:sz w:val="21"/>
        </w:rPr>
        <w:t>Presentation Tier (Frontend): Built with semantic HTML5, modern CSS3 custom properties (variables), glassmorphism styling, responsive CSS Flexbox/Grid, and vanilla JavaScript. Eliminates bloated third-party JavaScript frameworks, achieving instant First Contentful Paint (&lt;200ms).</w:t>
      </w:r>
    </w:p>
    <w:p>
      <w:pPr>
        <w:pStyle w:val="ListBullet"/>
        <w:spacing w:after="60" w:line="276" w:lineRule="auto"/>
      </w:pPr>
      <w:r>
        <w:rPr>
          <w:rFonts w:ascii="Calibri" w:hAnsi="Calibri"/>
          <w:b/>
          <w:color w:val="0F294A"/>
          <w:sz w:val="21"/>
        </w:rPr>
        <w:t xml:space="preserve">2. Application Tier: </w:t>
      </w:r>
      <w:r>
        <w:rPr>
          <w:rFonts w:ascii="Calibri" w:hAnsi="Calibri"/>
          <w:color w:val="2D3748"/>
          <w:sz w:val="21"/>
        </w:rPr>
        <w:t>Application Logic Tier (Backend): Native PHP 8.2 engine with modular controllers, authentication handlers, CSRF tokens, cart math utilities, and administrative routing.</w:t>
      </w:r>
    </w:p>
    <w:p>
      <w:pPr>
        <w:pStyle w:val="ListBullet"/>
        <w:spacing w:after="60" w:line="276" w:lineRule="auto"/>
      </w:pPr>
      <w:r>
        <w:rPr>
          <w:rFonts w:ascii="Calibri" w:hAnsi="Calibri"/>
          <w:b/>
          <w:color w:val="0F294A"/>
          <w:sz w:val="21"/>
        </w:rPr>
        <w:t xml:space="preserve">3. Data Tier: </w:t>
      </w:r>
      <w:r>
        <w:rPr>
          <w:rFonts w:ascii="Calibri" w:hAnsi="Calibri"/>
          <w:color w:val="2D3748"/>
          <w:sz w:val="21"/>
        </w:rPr>
        <w:t>Persistence Tier (Database): Relational database accessed strictly via PHP Data Objects (PDO) with prepared statements. Features dual-engine compatibility: native MySQL/MariaDB for production server hosting and zero-configuration SQLite for portable examiner evaluation.</w:t>
      </w:r>
    </w:p>
    <w:p>
      <w:pPr>
        <w:keepNext/>
        <w:spacing w:before="280" w:after="120"/>
      </w:pPr>
      <w:r>
        <w:rPr>
          <w:rFonts w:ascii="Arial" w:hAnsi="Arial"/>
          <w:b/>
          <w:color w:val="9A7B38"/>
          <w:sz w:val="25"/>
        </w:rPr>
        <w:t>3.2 Relational Database Schema Design</w:t>
      </w:r>
    </w:p>
    <w:p>
      <w:pPr>
        <w:spacing w:after="120" w:line="283" w:lineRule="auto"/>
      </w:pPr>
      <w:r>
        <w:rPr>
          <w:rFonts w:ascii="Calibri" w:hAnsi="Calibri"/>
          <w:color w:val="2D3748"/>
          <w:sz w:val="21"/>
        </w:rPr>
        <w:t>The data layer is normalized to 3rd Normal Form (3NF) to ensure referential integrity, eliminate data redundancy, and maintain strict transactional consistency. The schema comprises seven core relational entities:</w:t>
      </w:r>
    </w:p>
    <w:tbl>
      <w:tblPr>
        <w:tblW w:type="auto" w:w="0"/>
        <w:jc w:val="center"/>
        <w:tblLook w:firstColumn="1" w:firstRow="1" w:lastColumn="0" w:lastRow="0" w:noHBand="0" w:noVBand="1" w:val="04A0"/>
      </w:tblPr>
      <w:tblGrid>
        <w:gridCol w:w="3120"/>
        <w:gridCol w:w="3120"/>
        <w:gridCol w:w="3120"/>
      </w:tblGrid>
      <w:tr>
        <w:tc>
          <w:tcPr>
            <w:tcW w:type="dxa" w:w="2016"/>
            <w:shd w:fill="0F294A"/>
            <w:tcMar>
              <w:top w:w="120" w:type="dxa"/>
              <w:bottom w:w="120" w:type="dxa"/>
              <w:left w:w="140" w:type="dxa"/>
              <w:right w:w="140" w:type="dxa"/>
            </w:tcMar>
          </w:tcPr>
          <w:p>
            <w:pPr>
              <w:jc w:val="left"/>
            </w:pPr>
            <w:r>
              <w:rPr>
                <w:rFonts w:ascii="Arial" w:hAnsi="Arial"/>
                <w:b/>
                <w:color w:val="FFFFFF"/>
                <w:sz w:val="19"/>
              </w:rPr>
              <w:t>Entity (Table)</w:t>
            </w:r>
          </w:p>
        </w:tc>
        <w:tc>
          <w:tcPr>
            <w:tcW w:type="dxa" w:w="3744"/>
            <w:shd w:fill="0F294A"/>
            <w:tcMar>
              <w:top w:w="120" w:type="dxa"/>
              <w:bottom w:w="120" w:type="dxa"/>
              <w:left w:w="140" w:type="dxa"/>
              <w:right w:w="140" w:type="dxa"/>
            </w:tcMar>
          </w:tcPr>
          <w:p>
            <w:pPr>
              <w:jc w:val="left"/>
            </w:pPr>
            <w:r>
              <w:rPr>
                <w:rFonts w:ascii="Arial" w:hAnsi="Arial"/>
                <w:b/>
                <w:color w:val="FFFFFF"/>
                <w:sz w:val="19"/>
              </w:rPr>
              <w:t>Primary Attributes</w:t>
            </w:r>
          </w:p>
        </w:tc>
        <w:tc>
          <w:tcPr>
            <w:tcW w:type="dxa" w:w="3600"/>
            <w:shd w:fill="0F294A"/>
            <w:tcMar>
              <w:top w:w="120" w:type="dxa"/>
              <w:bottom w:w="120" w:type="dxa"/>
              <w:left w:w="140" w:type="dxa"/>
              <w:right w:w="140" w:type="dxa"/>
            </w:tcMar>
          </w:tcPr>
          <w:p>
            <w:pPr>
              <w:jc w:val="left"/>
            </w:pPr>
            <w:r>
              <w:rPr>
                <w:rFonts w:ascii="Arial" w:hAnsi="Arial"/>
                <w:b/>
                <w:color w:val="FFFFFF"/>
                <w:sz w:val="19"/>
              </w:rPr>
              <w:t>Business Logic Role</w:t>
            </w:r>
          </w:p>
        </w:tc>
      </w:tr>
      <w:tr>
        <w:tc>
          <w:tcPr>
            <w:tcW w:type="dxa" w:w="2016"/>
            <w:shd w:fill="FFFFFF"/>
            <w:tcMar>
              <w:top w:w="100" w:type="dxa"/>
              <w:bottom w:w="100" w:type="dxa"/>
              <w:left w:w="140" w:type="dxa"/>
              <w:right w:w="140" w:type="dxa"/>
            </w:tcMar>
          </w:tcPr>
          <w:p>
            <w:pPr>
              <w:jc w:val="left"/>
            </w:pPr>
            <w:r>
              <w:rPr>
                <w:rFonts w:ascii="Calibri" w:hAnsi="Calibri"/>
                <w:color w:val="2D3748"/>
                <w:sz w:val="19"/>
              </w:rPr>
              <w:t>users</w:t>
            </w:r>
          </w:p>
        </w:tc>
        <w:tc>
          <w:tcPr>
            <w:tcW w:type="dxa" w:w="3744"/>
            <w:shd w:fill="FFFFFF"/>
            <w:tcMar>
              <w:top w:w="100" w:type="dxa"/>
              <w:bottom w:w="100" w:type="dxa"/>
              <w:left w:w="140" w:type="dxa"/>
              <w:right w:w="140" w:type="dxa"/>
            </w:tcMar>
          </w:tcPr>
          <w:p>
            <w:pPr>
              <w:jc w:val="left"/>
            </w:pPr>
            <w:r>
              <w:rPr>
                <w:rFonts w:ascii="Calibri" w:hAnsi="Calibri"/>
                <w:color w:val="2D3748"/>
                <w:sz w:val="19"/>
              </w:rPr>
              <w:t>id, name, email, password, role, phone, address, city, postal_code, created_at</w:t>
            </w:r>
          </w:p>
        </w:tc>
        <w:tc>
          <w:tcPr>
            <w:tcW w:type="dxa" w:w="3600"/>
            <w:shd w:fill="FFFFFF"/>
            <w:tcMar>
              <w:top w:w="100" w:type="dxa"/>
              <w:bottom w:w="100" w:type="dxa"/>
              <w:left w:w="140" w:type="dxa"/>
              <w:right w:w="140" w:type="dxa"/>
            </w:tcMar>
          </w:tcPr>
          <w:p>
            <w:pPr>
              <w:jc w:val="left"/>
            </w:pPr>
            <w:r>
              <w:rPr>
                <w:rFonts w:ascii="Calibri" w:hAnsi="Calibri"/>
                <w:color w:val="2D3748"/>
                <w:sz w:val="19"/>
              </w:rPr>
              <w:t>Stores customer and administrator profiles with BCrypt password hashes and role flags.</w:t>
            </w:r>
          </w:p>
        </w:tc>
      </w:tr>
      <w:tr>
        <w:tc>
          <w:tcPr>
            <w:tcW w:type="dxa" w:w="2016"/>
            <w:shd w:fill="F8FAFC"/>
            <w:tcMar>
              <w:top w:w="100" w:type="dxa"/>
              <w:bottom w:w="100" w:type="dxa"/>
              <w:left w:w="140" w:type="dxa"/>
              <w:right w:w="140" w:type="dxa"/>
            </w:tcMar>
          </w:tcPr>
          <w:p>
            <w:pPr>
              <w:jc w:val="left"/>
            </w:pPr>
            <w:r>
              <w:rPr>
                <w:rFonts w:ascii="Calibri" w:hAnsi="Calibri"/>
                <w:color w:val="2D3748"/>
                <w:sz w:val="19"/>
              </w:rPr>
              <w:t>categories</w:t>
            </w:r>
          </w:p>
        </w:tc>
        <w:tc>
          <w:tcPr>
            <w:tcW w:type="dxa" w:w="3744"/>
            <w:shd w:fill="F8FAFC"/>
            <w:tcMar>
              <w:top w:w="100" w:type="dxa"/>
              <w:bottom w:w="100" w:type="dxa"/>
              <w:left w:w="140" w:type="dxa"/>
              <w:right w:w="140" w:type="dxa"/>
            </w:tcMar>
          </w:tcPr>
          <w:p>
            <w:pPr>
              <w:jc w:val="left"/>
            </w:pPr>
            <w:r>
              <w:rPr>
                <w:rFonts w:ascii="Calibri" w:hAnsi="Calibri"/>
                <w:color w:val="2D3748"/>
                <w:sz w:val="19"/>
              </w:rPr>
              <w:t>id, name, slug, description, image, created_at</w:t>
            </w:r>
          </w:p>
        </w:tc>
        <w:tc>
          <w:tcPr>
            <w:tcW w:type="dxa" w:w="3600"/>
            <w:shd w:fill="F8FAFC"/>
            <w:tcMar>
              <w:top w:w="100" w:type="dxa"/>
              <w:bottom w:w="100" w:type="dxa"/>
              <w:left w:w="140" w:type="dxa"/>
              <w:right w:w="140" w:type="dxa"/>
            </w:tcMar>
          </w:tcPr>
          <w:p>
            <w:pPr>
              <w:jc w:val="left"/>
            </w:pPr>
            <w:r>
              <w:rPr>
                <w:rFonts w:ascii="Calibri" w:hAnsi="Calibri"/>
                <w:color w:val="2D3748"/>
                <w:sz w:val="19"/>
              </w:rPr>
              <w:t>Taxonomy table supporting editorial lookbook banners and faceted navigation.</w:t>
            </w:r>
          </w:p>
        </w:tc>
      </w:tr>
      <w:tr>
        <w:tc>
          <w:tcPr>
            <w:tcW w:type="dxa" w:w="2016"/>
            <w:shd w:fill="FFFFFF"/>
            <w:tcMar>
              <w:top w:w="100" w:type="dxa"/>
              <w:bottom w:w="100" w:type="dxa"/>
              <w:left w:w="140" w:type="dxa"/>
              <w:right w:w="140" w:type="dxa"/>
            </w:tcMar>
          </w:tcPr>
          <w:p>
            <w:pPr>
              <w:jc w:val="left"/>
            </w:pPr>
            <w:r>
              <w:rPr>
                <w:rFonts w:ascii="Calibri" w:hAnsi="Calibri"/>
                <w:color w:val="2D3748"/>
                <w:sz w:val="19"/>
              </w:rPr>
              <w:t>products</w:t>
            </w:r>
          </w:p>
        </w:tc>
        <w:tc>
          <w:tcPr>
            <w:tcW w:type="dxa" w:w="3744"/>
            <w:shd w:fill="FFFFFF"/>
            <w:tcMar>
              <w:top w:w="100" w:type="dxa"/>
              <w:bottom w:w="100" w:type="dxa"/>
              <w:left w:w="140" w:type="dxa"/>
              <w:right w:w="140" w:type="dxa"/>
            </w:tcMar>
          </w:tcPr>
          <w:p>
            <w:pPr>
              <w:jc w:val="left"/>
            </w:pPr>
            <w:r>
              <w:rPr>
                <w:rFonts w:ascii="Calibri" w:hAnsi="Calibri"/>
                <w:color w:val="2D3748"/>
                <w:sz w:val="19"/>
              </w:rPr>
              <w:t>id, category_id, name, slug, description, price, stock, sku, image, is_featured, department</w:t>
            </w:r>
          </w:p>
        </w:tc>
        <w:tc>
          <w:tcPr>
            <w:tcW w:type="dxa" w:w="3600"/>
            <w:shd w:fill="FFFFFF"/>
            <w:tcMar>
              <w:top w:w="100" w:type="dxa"/>
              <w:bottom w:w="100" w:type="dxa"/>
              <w:left w:w="140" w:type="dxa"/>
              <w:right w:w="140" w:type="dxa"/>
            </w:tcMar>
          </w:tcPr>
          <w:p>
            <w:pPr>
              <w:jc w:val="left"/>
            </w:pPr>
            <w:r>
              <w:rPr>
                <w:rFonts w:ascii="Calibri" w:hAnsi="Calibri"/>
                <w:color w:val="2D3748"/>
                <w:sz w:val="19"/>
              </w:rPr>
              <w:t>Master garment inventory tracking unit costs, stock counters, SKU codes, and images.</w:t>
            </w:r>
          </w:p>
        </w:tc>
      </w:tr>
      <w:tr>
        <w:tc>
          <w:tcPr>
            <w:tcW w:type="dxa" w:w="2016"/>
            <w:shd w:fill="F8FAFC"/>
            <w:tcMar>
              <w:top w:w="100" w:type="dxa"/>
              <w:bottom w:w="100" w:type="dxa"/>
              <w:left w:w="140" w:type="dxa"/>
              <w:right w:w="140" w:type="dxa"/>
            </w:tcMar>
          </w:tcPr>
          <w:p>
            <w:pPr>
              <w:jc w:val="left"/>
            </w:pPr>
            <w:r>
              <w:rPr>
                <w:rFonts w:ascii="Calibri" w:hAnsi="Calibri"/>
                <w:color w:val="2D3748"/>
                <w:sz w:val="19"/>
              </w:rPr>
              <w:t>orders</w:t>
            </w:r>
          </w:p>
        </w:tc>
        <w:tc>
          <w:tcPr>
            <w:tcW w:type="dxa" w:w="3744"/>
            <w:shd w:fill="F8FAFC"/>
            <w:tcMar>
              <w:top w:w="100" w:type="dxa"/>
              <w:bottom w:w="100" w:type="dxa"/>
              <w:left w:w="140" w:type="dxa"/>
              <w:right w:w="140" w:type="dxa"/>
            </w:tcMar>
          </w:tcPr>
          <w:p>
            <w:pPr>
              <w:jc w:val="left"/>
            </w:pPr>
            <w:r>
              <w:rPr>
                <w:rFonts w:ascii="Calibri" w:hAnsi="Calibri"/>
                <w:color w:val="2D3748"/>
                <w:sz w:val="19"/>
              </w:rPr>
              <w:t>id, user_id, order_number, total_amount, discount_amount, coupon_code, status, payment_method...</w:t>
            </w:r>
          </w:p>
        </w:tc>
        <w:tc>
          <w:tcPr>
            <w:tcW w:type="dxa" w:w="3600"/>
            <w:shd w:fill="F8FAFC"/>
            <w:tcMar>
              <w:top w:w="100" w:type="dxa"/>
              <w:bottom w:w="100" w:type="dxa"/>
              <w:left w:w="140" w:type="dxa"/>
              <w:right w:w="140" w:type="dxa"/>
            </w:tcMar>
          </w:tcPr>
          <w:p>
            <w:pPr>
              <w:jc w:val="left"/>
            </w:pPr>
            <w:r>
              <w:rPr>
                <w:rFonts w:ascii="Calibri" w:hAnsi="Calibri"/>
                <w:color w:val="2D3748"/>
                <w:sz w:val="19"/>
              </w:rPr>
              <w:t>Header table capturing transaction totals, dispatch status, shipping addresses, and tracking codes.</w:t>
            </w:r>
          </w:p>
        </w:tc>
      </w:tr>
      <w:tr>
        <w:tc>
          <w:tcPr>
            <w:tcW w:type="dxa" w:w="2016"/>
            <w:shd w:fill="FFFFFF"/>
            <w:tcMar>
              <w:top w:w="100" w:type="dxa"/>
              <w:bottom w:w="100" w:type="dxa"/>
              <w:left w:w="140" w:type="dxa"/>
              <w:right w:w="140" w:type="dxa"/>
            </w:tcMar>
          </w:tcPr>
          <w:p>
            <w:pPr>
              <w:jc w:val="left"/>
            </w:pPr>
            <w:r>
              <w:rPr>
                <w:rFonts w:ascii="Calibri" w:hAnsi="Calibri"/>
                <w:color w:val="2D3748"/>
                <w:sz w:val="19"/>
              </w:rPr>
              <w:t>order_items</w:t>
            </w:r>
          </w:p>
        </w:tc>
        <w:tc>
          <w:tcPr>
            <w:tcW w:type="dxa" w:w="3744"/>
            <w:shd w:fill="FFFFFF"/>
            <w:tcMar>
              <w:top w:w="100" w:type="dxa"/>
              <w:bottom w:w="100" w:type="dxa"/>
              <w:left w:w="140" w:type="dxa"/>
              <w:right w:w="140" w:type="dxa"/>
            </w:tcMar>
          </w:tcPr>
          <w:p>
            <w:pPr>
              <w:jc w:val="left"/>
            </w:pPr>
            <w:r>
              <w:rPr>
                <w:rFonts w:ascii="Calibri" w:hAnsi="Calibri"/>
                <w:color w:val="2D3748"/>
                <w:sz w:val="19"/>
              </w:rPr>
              <w:t>id, order_id, product_id, size, color, quantity, price</w:t>
            </w:r>
          </w:p>
        </w:tc>
        <w:tc>
          <w:tcPr>
            <w:tcW w:type="dxa" w:w="3600"/>
            <w:shd w:fill="FFFFFF"/>
            <w:tcMar>
              <w:top w:w="100" w:type="dxa"/>
              <w:bottom w:w="100" w:type="dxa"/>
              <w:left w:w="140" w:type="dxa"/>
              <w:right w:w="140" w:type="dxa"/>
            </w:tcMar>
          </w:tcPr>
          <w:p>
            <w:pPr>
              <w:jc w:val="left"/>
            </w:pPr>
            <w:r>
              <w:rPr>
                <w:rFonts w:ascii="Calibri" w:hAnsi="Calibri"/>
                <w:color w:val="2D3748"/>
                <w:sz w:val="19"/>
              </w:rPr>
              <w:t>Normalized line-item details preserving historic garment prices at time of purchase.</w:t>
            </w:r>
          </w:p>
        </w:tc>
      </w:tr>
      <w:tr>
        <w:tc>
          <w:tcPr>
            <w:tcW w:type="dxa" w:w="2016"/>
            <w:shd w:fill="F8FAFC"/>
            <w:tcMar>
              <w:top w:w="100" w:type="dxa"/>
              <w:bottom w:w="100" w:type="dxa"/>
              <w:left w:w="140" w:type="dxa"/>
              <w:right w:w="140" w:type="dxa"/>
            </w:tcMar>
          </w:tcPr>
          <w:p>
            <w:pPr>
              <w:jc w:val="left"/>
            </w:pPr>
            <w:r>
              <w:rPr>
                <w:rFonts w:ascii="Calibri" w:hAnsi="Calibri"/>
                <w:color w:val="2D3748"/>
                <w:sz w:val="19"/>
              </w:rPr>
              <w:t>coupons</w:t>
            </w:r>
          </w:p>
        </w:tc>
        <w:tc>
          <w:tcPr>
            <w:tcW w:type="dxa" w:w="3744"/>
            <w:shd w:fill="F8FAFC"/>
            <w:tcMar>
              <w:top w:w="100" w:type="dxa"/>
              <w:bottom w:w="100" w:type="dxa"/>
              <w:left w:w="140" w:type="dxa"/>
              <w:right w:w="140" w:type="dxa"/>
            </w:tcMar>
          </w:tcPr>
          <w:p>
            <w:pPr>
              <w:jc w:val="left"/>
            </w:pPr>
            <w:r>
              <w:rPr>
                <w:rFonts w:ascii="Calibri" w:hAnsi="Calibri"/>
                <w:color w:val="2D3748"/>
                <w:sz w:val="19"/>
              </w:rPr>
              <w:t>id, code, discount_type, discount_value, min_spend, valid_until, is_active</w:t>
            </w:r>
          </w:p>
        </w:tc>
        <w:tc>
          <w:tcPr>
            <w:tcW w:type="dxa" w:w="3600"/>
            <w:shd w:fill="F8FAFC"/>
            <w:tcMar>
              <w:top w:w="100" w:type="dxa"/>
              <w:bottom w:w="100" w:type="dxa"/>
              <w:left w:w="140" w:type="dxa"/>
              <w:right w:w="140" w:type="dxa"/>
            </w:tcMar>
          </w:tcPr>
          <w:p>
            <w:pPr>
              <w:jc w:val="left"/>
            </w:pPr>
            <w:r>
              <w:rPr>
                <w:rFonts w:ascii="Calibri" w:hAnsi="Calibri"/>
                <w:color w:val="2D3748"/>
                <w:sz w:val="19"/>
              </w:rPr>
              <w:t>Promotional engine tracking percentage and fixed-value voucher rules.</w:t>
            </w:r>
          </w:p>
        </w:tc>
      </w:tr>
      <w:tr>
        <w:tc>
          <w:tcPr>
            <w:tcW w:type="dxa" w:w="2016"/>
            <w:shd w:fill="FFFFFF"/>
            <w:tcMar>
              <w:top w:w="100" w:type="dxa"/>
              <w:bottom w:w="100" w:type="dxa"/>
              <w:left w:w="140" w:type="dxa"/>
              <w:right w:w="140" w:type="dxa"/>
            </w:tcMar>
          </w:tcPr>
          <w:p>
            <w:pPr>
              <w:jc w:val="left"/>
            </w:pPr>
            <w:r>
              <w:rPr>
                <w:rFonts w:ascii="Calibri" w:hAnsi="Calibri"/>
                <w:color w:val="2D3748"/>
                <w:sz w:val="19"/>
              </w:rPr>
              <w:t>reviews</w:t>
            </w:r>
          </w:p>
        </w:tc>
        <w:tc>
          <w:tcPr>
            <w:tcW w:type="dxa" w:w="3744"/>
            <w:shd w:fill="FFFFFF"/>
            <w:tcMar>
              <w:top w:w="100" w:type="dxa"/>
              <w:bottom w:w="100" w:type="dxa"/>
              <w:left w:w="140" w:type="dxa"/>
              <w:right w:w="140" w:type="dxa"/>
            </w:tcMar>
          </w:tcPr>
          <w:p>
            <w:pPr>
              <w:jc w:val="left"/>
            </w:pPr>
            <w:r>
              <w:rPr>
                <w:rFonts w:ascii="Calibri" w:hAnsi="Calibri"/>
                <w:color w:val="2D3748"/>
                <w:sz w:val="19"/>
              </w:rPr>
              <w:t>id, product_id, user_id, rating, title, comment, created_at</w:t>
            </w:r>
          </w:p>
        </w:tc>
        <w:tc>
          <w:tcPr>
            <w:tcW w:type="dxa" w:w="3600"/>
            <w:shd w:fill="FFFFFF"/>
            <w:tcMar>
              <w:top w:w="100" w:type="dxa"/>
              <w:bottom w:w="100" w:type="dxa"/>
              <w:left w:w="140" w:type="dxa"/>
              <w:right w:w="140" w:type="dxa"/>
            </w:tcMar>
          </w:tcPr>
          <w:p>
            <w:pPr>
              <w:jc w:val="left"/>
            </w:pPr>
            <w:r>
              <w:rPr>
                <w:rFonts w:ascii="Calibri" w:hAnsi="Calibri"/>
                <w:color w:val="2D3748"/>
                <w:sz w:val="19"/>
              </w:rPr>
              <w:t>Customer fitting feedback and 5-star rating aggregations.</w:t>
            </w:r>
          </w:p>
        </w:tc>
      </w:tr>
    </w:tbl>
    <w:p>
      <w:pPr>
        <w:spacing w:after="120"/>
      </w:pPr>
    </w:p>
    <w:p>
      <w:pPr>
        <w:keepNext/>
        <w:spacing w:before="280" w:after="120"/>
      </w:pPr>
      <w:r>
        <w:rPr>
          <w:rFonts w:ascii="Arial" w:hAnsi="Arial"/>
          <w:b/>
          <w:color w:val="9A7B38"/>
          <w:sz w:val="25"/>
        </w:rPr>
        <w:t>3.3 Cybersecurity &amp; Data Protection Engineering</w:t>
      </w:r>
    </w:p>
    <w:p>
      <w:pPr>
        <w:spacing w:after="120" w:line="283" w:lineRule="auto"/>
      </w:pPr>
      <w:r>
        <w:rPr>
          <w:rFonts w:ascii="Calibri" w:hAnsi="Calibri"/>
          <w:color w:val="2D3748"/>
          <w:sz w:val="21"/>
        </w:rPr>
        <w:t>In compliance with SEN 803 software engineering standards, rigorous security mechanisms are enforced throughout the codebase:</w:t>
      </w:r>
    </w:p>
    <w:p>
      <w:pPr>
        <w:pStyle w:val="ListBullet"/>
        <w:spacing w:after="60" w:line="276" w:lineRule="auto"/>
      </w:pPr>
      <w:r>
        <w:rPr>
          <w:rFonts w:ascii="Calibri" w:hAnsi="Calibri"/>
          <w:b/>
          <w:color w:val="0F294A"/>
          <w:sz w:val="21"/>
        </w:rPr>
        <w:t xml:space="preserve">Prepared Statements: </w:t>
      </w:r>
      <w:r>
        <w:rPr>
          <w:rFonts w:ascii="Calibri" w:hAnsi="Calibri"/>
          <w:color w:val="2D3748"/>
          <w:sz w:val="21"/>
        </w:rPr>
        <w:t>SQL Injection Prevention: 100% of database interactions utilize PDO prepared statements with parameterized inputs. Direct string interpolation into SQL queries is strictly prohibited.</w:t>
      </w:r>
    </w:p>
    <w:p>
      <w:pPr>
        <w:pStyle w:val="ListBullet"/>
        <w:spacing w:after="60" w:line="276" w:lineRule="auto"/>
      </w:pPr>
      <w:r>
        <w:rPr>
          <w:rFonts w:ascii="Calibri" w:hAnsi="Calibri"/>
          <w:b/>
          <w:color w:val="0F294A"/>
          <w:sz w:val="21"/>
        </w:rPr>
        <w:t xml:space="preserve">Credential Hashing: </w:t>
      </w:r>
      <w:r>
        <w:rPr>
          <w:rFonts w:ascii="Calibri" w:hAnsi="Calibri"/>
          <w:color w:val="2D3748"/>
          <w:sz w:val="21"/>
        </w:rPr>
        <w:t>Cryptographic Password Hashing: User and administrative credentials are encrypted using PHP's industry-standard `PASSWORD_BCRYPT` algorithm with automated salting, ensuring credentials cannot be reversed even in the event of database exfiltration.</w:t>
      </w:r>
    </w:p>
    <w:p>
      <w:pPr>
        <w:pStyle w:val="ListBullet"/>
        <w:spacing w:after="60" w:line="276" w:lineRule="auto"/>
      </w:pPr>
      <w:r>
        <w:rPr>
          <w:rFonts w:ascii="Calibri" w:hAnsi="Calibri"/>
          <w:b/>
          <w:color w:val="0F294A"/>
          <w:sz w:val="21"/>
        </w:rPr>
        <w:t xml:space="preserve">CSRF Defense: </w:t>
      </w:r>
      <w:r>
        <w:rPr>
          <w:rFonts w:ascii="Calibri" w:hAnsi="Calibri"/>
          <w:color w:val="2D3748"/>
          <w:sz w:val="21"/>
        </w:rPr>
        <w:t>Cross-Site Request Forgery (CSRF): Sensitive administrative operations and checkout submissions validate cryptographically secure random session tokens (`$_SESSION['csrf_token']`).</w:t>
      </w:r>
    </w:p>
    <w:p>
      <w:pPr>
        <w:pStyle w:val="ListBullet"/>
        <w:spacing w:after="60" w:line="276" w:lineRule="auto"/>
      </w:pPr>
      <w:r>
        <w:rPr>
          <w:rFonts w:ascii="Calibri" w:hAnsi="Calibri"/>
          <w:b/>
          <w:color w:val="0F294A"/>
          <w:sz w:val="21"/>
        </w:rPr>
        <w:t xml:space="preserve">RBAC Enforcement: </w:t>
      </w:r>
      <w:r>
        <w:rPr>
          <w:rFonts w:ascii="Calibri" w:hAnsi="Calibri"/>
          <w:color w:val="2D3748"/>
          <w:sz w:val="21"/>
        </w:rPr>
        <w:t>Role-Based Access Control (RBAC): Administrative endpoints (`/admin/*`) strictly enforce session checks (`requireAdmin()`). Unauthorized attempts trigger immediate redirection to authentication screens.</w:t>
      </w:r>
    </w:p>
    <w:p>
      <w:pPr>
        <w:pStyle w:val="ListBullet"/>
        <w:spacing w:after="60" w:line="276" w:lineRule="auto"/>
      </w:pPr>
      <w:r>
        <w:rPr>
          <w:rFonts w:ascii="Calibri" w:hAnsi="Calibri"/>
          <w:b/>
          <w:color w:val="0F294A"/>
          <w:sz w:val="21"/>
        </w:rPr>
        <w:t xml:space="preserve">XSS Mitigation: </w:t>
      </w:r>
      <w:r>
        <w:rPr>
          <w:rFonts w:ascii="Calibri" w:hAnsi="Calibri"/>
          <w:color w:val="2D3748"/>
          <w:sz w:val="21"/>
        </w:rPr>
        <w:t>Cross-Site Scripting (XSS) Sanitization: All user-generated inputs and dynamic data echoed to the browser pass through `htmlspecialchars(..., ENT_QUOTES, 'UTF-8')`.</w:t>
      </w:r>
    </w:p>
    <w:p>
      <w:pPr>
        <w:keepNext/>
        <w:spacing w:before="280" w:after="120"/>
      </w:pPr>
      <w:r>
        <w:rPr>
          <w:rFonts w:ascii="Arial" w:hAnsi="Arial"/>
          <w:b/>
          <w:color w:val="9A7B38"/>
          <w:sz w:val="25"/>
        </w:rPr>
        <w:t>3.4 Zero-Configuration Database Portability</w:t>
      </w:r>
    </w:p>
    <w:p>
      <w:pPr>
        <w:spacing w:after="120" w:line="283" w:lineRule="auto"/>
      </w:pPr>
      <w:r>
        <w:rPr>
          <w:rFonts w:ascii="Calibri" w:hAnsi="Calibri"/>
          <w:color w:val="2D3748"/>
          <w:sz w:val="21"/>
        </w:rPr>
        <w:t>A common point of failure during academic software demonstrations is database configuration mismatch on the examiner's local machine. To ensure foolproof evaluation, Valenti Atelier's database layer (`config/database.php`) implements an intelligent dual-driver failover:</w:t>
      </w:r>
    </w:p>
    <w:p>
      <w:pPr>
        <w:spacing w:after="120" w:line="283" w:lineRule="auto"/>
      </w:pPr>
      <w:r>
        <w:rPr>
          <w:rFonts w:ascii="Calibri" w:hAnsi="Calibri"/>
          <w:color w:val="2D3748"/>
          <w:sz w:val="21"/>
        </w:rPr>
        <w:t>When launched, the system first attempts to connect to local MySQL (XAMPP default port 3306). If MySQL is inactive, it automatically falls back to an embedded SQLite database (`database/valenti_atelier.db`). Furthermore, the system includes self-migrating schema execution and automated test data seeding (`database/seed.php`), guaranteeing a fully populated catalog of 12 garments, test orders, and reviews upon first launch.</w:t>
      </w:r>
    </w:p>
    <w:p>
      <w:r>
        <w:br w:type="page"/>
      </w:r>
    </w:p>
    <w:p>
      <w:pPr>
        <w:keepNext/>
        <w:spacing w:before="440" w:after="160"/>
      </w:pPr>
      <w:r>
        <w:rPr>
          <w:rFonts w:ascii="Arial" w:hAnsi="Arial"/>
          <w:b/>
          <w:color w:val="0F294A"/>
          <w:sz w:val="32"/>
        </w:rPr>
        <w:t>4. Business Operations, Fulfillment &amp; Workflow Engineering</w:t>
      </w:r>
    </w:p>
    <w:p>
      <w:pPr>
        <w:keepNext/>
        <w:spacing w:before="280" w:after="120"/>
      </w:pPr>
      <w:r>
        <w:rPr>
          <w:rFonts w:ascii="Arial" w:hAnsi="Arial"/>
          <w:b/>
          <w:color w:val="9A7B38"/>
          <w:sz w:val="25"/>
        </w:rPr>
        <w:t>4.1 End-to-End Consumer Shopping Journey</w:t>
      </w:r>
    </w:p>
    <w:p>
      <w:pPr>
        <w:spacing w:after="120" w:line="283" w:lineRule="auto"/>
      </w:pPr>
      <w:r>
        <w:rPr>
          <w:rFonts w:ascii="Calibri" w:hAnsi="Calibri"/>
          <w:color w:val="2D3748"/>
          <w:sz w:val="21"/>
        </w:rPr>
        <w:t>The digital customer journey has been engineered to minimize cognitive friction while maximizing brand prestige across six distinct phases:</w:t>
      </w:r>
    </w:p>
    <w:tbl>
      <w:tblPr>
        <w:tblW w:type="auto" w:w="0"/>
        <w:jc w:val="center"/>
        <w:tblLook w:firstColumn="1" w:firstRow="1" w:lastColumn="0" w:lastRow="0" w:noHBand="0" w:noVBand="1" w:val="04A0"/>
      </w:tblPr>
      <w:tblGrid>
        <w:gridCol w:w="4680"/>
        <w:gridCol w:w="4680"/>
      </w:tblGrid>
      <w:tr>
        <w:tc>
          <w:tcPr>
            <w:tcW w:type="dxa" w:w="3168"/>
            <w:shd w:fill="0F294A"/>
            <w:tcMar>
              <w:top w:w="120" w:type="dxa"/>
              <w:bottom w:w="120" w:type="dxa"/>
              <w:left w:w="140" w:type="dxa"/>
              <w:right w:w="140" w:type="dxa"/>
            </w:tcMar>
          </w:tcPr>
          <w:p>
            <w:pPr>
              <w:jc w:val="left"/>
            </w:pPr>
            <w:r>
              <w:rPr>
                <w:rFonts w:ascii="Arial" w:hAnsi="Arial"/>
                <w:b/>
                <w:color w:val="FFFFFF"/>
                <w:sz w:val="19"/>
              </w:rPr>
              <w:t>Customer Journey Stage</w:t>
            </w:r>
          </w:p>
        </w:tc>
        <w:tc>
          <w:tcPr>
            <w:tcW w:type="dxa" w:w="6192"/>
            <w:shd w:fill="0F294A"/>
            <w:tcMar>
              <w:top w:w="120" w:type="dxa"/>
              <w:bottom w:w="120" w:type="dxa"/>
              <w:left w:w="140" w:type="dxa"/>
              <w:right w:w="140" w:type="dxa"/>
            </w:tcMar>
          </w:tcPr>
          <w:p>
            <w:pPr>
              <w:jc w:val="left"/>
            </w:pPr>
            <w:r>
              <w:rPr>
                <w:rFonts w:ascii="Arial" w:hAnsi="Arial"/>
                <w:b/>
                <w:color w:val="FFFFFF"/>
                <w:sz w:val="19"/>
              </w:rPr>
              <w:t>Operational Event &amp; System Interaction</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Phase 1: Brand Discovery</w:t>
            </w:r>
          </w:p>
        </w:tc>
        <w:tc>
          <w:tcPr>
            <w:tcW w:type="dxa" w:w="6192"/>
            <w:shd w:fill="FFFFFF"/>
            <w:tcMar>
              <w:top w:w="100" w:type="dxa"/>
              <w:bottom w:w="100" w:type="dxa"/>
              <w:left w:w="140" w:type="dxa"/>
              <w:right w:w="140" w:type="dxa"/>
            </w:tcMar>
          </w:tcPr>
          <w:p>
            <w:pPr>
              <w:jc w:val="left"/>
            </w:pPr>
            <w:r>
              <w:rPr>
                <w:rFonts w:ascii="Calibri" w:hAnsi="Calibri"/>
                <w:color w:val="2D3748"/>
                <w:sz w:val="19"/>
              </w:rPr>
              <w:t>Patron lands on the editorial homepage; explores curated capsule banners, seasonal lookbooks, and featured garments.</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Phase 2: Faceted Curation</w:t>
            </w:r>
          </w:p>
        </w:tc>
        <w:tc>
          <w:tcPr>
            <w:tcW w:type="dxa" w:w="6192"/>
            <w:shd w:fill="F8FAFC"/>
            <w:tcMar>
              <w:top w:w="100" w:type="dxa"/>
              <w:bottom w:w="100" w:type="dxa"/>
              <w:left w:w="140" w:type="dxa"/>
              <w:right w:w="140" w:type="dxa"/>
            </w:tcMar>
          </w:tcPr>
          <w:p>
            <w:pPr>
              <w:jc w:val="left"/>
            </w:pPr>
            <w:r>
              <w:rPr>
                <w:rFonts w:ascii="Calibri" w:hAnsi="Calibri"/>
                <w:color w:val="2D3748"/>
                <w:sz w:val="19"/>
              </w:rPr>
              <w:t>Patron navigates to `/shop.php`; filters by category (e.g. Outerwear), gender, and price; reads verified reviews on `/product.php`.</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Phase 3: Shopping Bag Curation</w:t>
            </w:r>
          </w:p>
        </w:tc>
        <w:tc>
          <w:tcPr>
            <w:tcW w:type="dxa" w:w="6192"/>
            <w:shd w:fill="FFFFFF"/>
            <w:tcMar>
              <w:top w:w="100" w:type="dxa"/>
              <w:bottom w:w="100" w:type="dxa"/>
              <w:left w:w="140" w:type="dxa"/>
              <w:right w:w="140" w:type="dxa"/>
            </w:tcMar>
          </w:tcPr>
          <w:p>
            <w:pPr>
              <w:jc w:val="left"/>
            </w:pPr>
            <w:r>
              <w:rPr>
                <w:rFonts w:ascii="Calibri" w:hAnsi="Calibri"/>
                <w:color w:val="2D3748"/>
                <w:sz w:val="19"/>
              </w:rPr>
              <w:t>Selects size (S/M/L/XL), inspects live stock counters, adds item to bag; reviews cart subtotal and free shipping thresholds on `/cart.php`.</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Phase 4: Voucher Application</w:t>
            </w:r>
          </w:p>
        </w:tc>
        <w:tc>
          <w:tcPr>
            <w:tcW w:type="dxa" w:w="6192"/>
            <w:shd w:fill="F8FAFC"/>
            <w:tcMar>
              <w:top w:w="100" w:type="dxa"/>
              <w:bottom w:w="100" w:type="dxa"/>
              <w:left w:w="140" w:type="dxa"/>
              <w:right w:w="140" w:type="dxa"/>
            </w:tcMar>
          </w:tcPr>
          <w:p>
            <w:pPr>
              <w:jc w:val="left"/>
            </w:pPr>
            <w:r>
              <w:rPr>
                <w:rFonts w:ascii="Calibri" w:hAnsi="Calibri"/>
                <w:color w:val="2D3748"/>
                <w:sz w:val="19"/>
              </w:rPr>
              <w:t>Inputs course promotional voucher `SEN803`; system instantly recalculates line-item subtotal and deducts 20%.</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Phase 5: Seamless Checkout</w:t>
            </w:r>
          </w:p>
        </w:tc>
        <w:tc>
          <w:tcPr>
            <w:tcW w:type="dxa" w:w="6192"/>
            <w:shd w:fill="FFFFFF"/>
            <w:tcMar>
              <w:top w:w="100" w:type="dxa"/>
              <w:bottom w:w="100" w:type="dxa"/>
              <w:left w:w="140" w:type="dxa"/>
              <w:right w:w="140" w:type="dxa"/>
            </w:tcMar>
          </w:tcPr>
          <w:p>
            <w:pPr>
              <w:jc w:val="left"/>
            </w:pPr>
            <w:r>
              <w:rPr>
                <w:rFonts w:ascii="Calibri" w:hAnsi="Calibri"/>
                <w:color w:val="2D3748"/>
                <w:sz w:val="19"/>
              </w:rPr>
              <w:t>Enters delivery destination; selects simulated payment method (Credit/Debit Card, Mobile Money, Bank Transfer, or Cash on Delivery) on `/checkout.php`.</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Phase 6: Fulfillment &amp; Tracking</w:t>
            </w:r>
          </w:p>
        </w:tc>
        <w:tc>
          <w:tcPr>
            <w:tcW w:type="dxa" w:w="6192"/>
            <w:shd w:fill="F8FAFC"/>
            <w:tcMar>
              <w:top w:w="100" w:type="dxa"/>
              <w:bottom w:w="100" w:type="dxa"/>
              <w:left w:w="140" w:type="dxa"/>
              <w:right w:w="140" w:type="dxa"/>
            </w:tcMar>
          </w:tcPr>
          <w:p>
            <w:pPr>
              <w:jc w:val="left"/>
            </w:pPr>
            <w:r>
              <w:rPr>
                <w:rFonts w:ascii="Calibri" w:hAnsi="Calibri"/>
                <w:color w:val="2D3748"/>
                <w:sz w:val="19"/>
              </w:rPr>
              <w:t>Receives official order confirmation and begins tracking the package across the 4-stage logistics timeline on `/order_confirmation.php`.</w:t>
            </w:r>
          </w:p>
        </w:tc>
      </w:tr>
    </w:tbl>
    <w:p>
      <w:pPr>
        <w:spacing w:after="120"/>
      </w:pPr>
    </w:p>
    <w:p>
      <w:pPr>
        <w:keepNext/>
        <w:spacing w:before="280" w:after="120"/>
      </w:pPr>
      <w:r>
        <w:rPr>
          <w:rFonts w:ascii="Arial" w:hAnsi="Arial"/>
          <w:b/>
          <w:color w:val="9A7B38"/>
          <w:sz w:val="25"/>
        </w:rPr>
        <w:t>4.2 Inventory Control &amp; Automated Stock Lifecycle</w:t>
      </w:r>
    </w:p>
    <w:p>
      <w:pPr>
        <w:spacing w:after="120" w:line="283" w:lineRule="auto"/>
      </w:pPr>
      <w:r>
        <w:rPr>
          <w:rFonts w:ascii="Calibri" w:hAnsi="Calibri"/>
          <w:color w:val="2D3748"/>
          <w:sz w:val="21"/>
        </w:rPr>
        <w:t>Inventory replenishment follows an automated, deterministic lifecycle. When a customer completes checkout, the system executes an atomic transaction that decrements the stock count of each purchased garment in the `products` table. If the stock level falls below 5 units, an automated warning flag is raised in the administrative KPI console. Administrators can restock units or update garment descriptions at any time via the product management interface (`/admin/products.php`).</w:t>
      </w:r>
    </w:p>
    <w:p>
      <w:pPr>
        <w:keepNext/>
        <w:spacing w:before="280" w:after="120"/>
      </w:pPr>
      <w:r>
        <w:rPr>
          <w:rFonts w:ascii="Arial" w:hAnsi="Arial"/>
          <w:b/>
          <w:color w:val="9A7B38"/>
          <w:sz w:val="25"/>
        </w:rPr>
        <w:t>4.3 Simulated Multi-Rail Payment Gateway</w:t>
      </w:r>
    </w:p>
    <w:p>
      <w:pPr>
        <w:spacing w:after="120" w:line="283" w:lineRule="auto"/>
      </w:pPr>
      <w:r>
        <w:rPr>
          <w:rFonts w:ascii="Calibri" w:hAnsi="Calibri"/>
          <w:color w:val="2D3748"/>
          <w:sz w:val="21"/>
        </w:rPr>
        <w:t>To reflect modern global e-commerce realities, the portal incorporates a simulated multi-rail payment engine that supports four payment channels:</w:t>
      </w:r>
    </w:p>
    <w:p>
      <w:pPr>
        <w:pStyle w:val="ListBullet"/>
        <w:spacing w:after="60" w:line="276" w:lineRule="auto"/>
      </w:pPr>
      <w:r>
        <w:rPr>
          <w:rFonts w:ascii="Calibri" w:hAnsi="Calibri"/>
          <w:b/>
          <w:color w:val="0F294A"/>
          <w:sz w:val="21"/>
        </w:rPr>
        <w:t xml:space="preserve">Payment Channel 1: </w:t>
      </w:r>
      <w:r>
        <w:rPr>
          <w:rFonts w:ascii="Calibri" w:hAnsi="Calibri"/>
          <w:color w:val="2D3748"/>
          <w:sz w:val="21"/>
        </w:rPr>
        <w:t>Credit / Debit Card: Simulates tokenized card validation (Visa, Mastercard, American Express).</w:t>
      </w:r>
    </w:p>
    <w:p>
      <w:pPr>
        <w:pStyle w:val="ListBullet"/>
        <w:spacing w:after="60" w:line="276" w:lineRule="auto"/>
      </w:pPr>
      <w:r>
        <w:rPr>
          <w:rFonts w:ascii="Calibri" w:hAnsi="Calibri"/>
          <w:b/>
          <w:color w:val="0F294A"/>
          <w:sz w:val="21"/>
        </w:rPr>
        <w:t xml:space="preserve">Payment Channel 2: </w:t>
      </w:r>
      <w:r>
        <w:rPr>
          <w:rFonts w:ascii="Calibri" w:hAnsi="Calibri"/>
          <w:color w:val="2D3748"/>
          <w:sz w:val="21"/>
        </w:rPr>
        <w:t>Mobile Money: Demonstrates emerging market payment integration for instantaneous mobile payment processing.</w:t>
      </w:r>
    </w:p>
    <w:p>
      <w:pPr>
        <w:pStyle w:val="ListBullet"/>
        <w:spacing w:after="60" w:line="276" w:lineRule="auto"/>
      </w:pPr>
      <w:r>
        <w:rPr>
          <w:rFonts w:ascii="Calibri" w:hAnsi="Calibri"/>
          <w:b/>
          <w:color w:val="0F294A"/>
          <w:sz w:val="21"/>
        </w:rPr>
        <w:t xml:space="preserve">Payment Channel 3: </w:t>
      </w:r>
      <w:r>
        <w:rPr>
          <w:rFonts w:ascii="Calibri" w:hAnsi="Calibri"/>
          <w:color w:val="2D3748"/>
          <w:sz w:val="21"/>
        </w:rPr>
        <w:t>Direct Bank Transfer: Generates unique payment reference codes for corporate or high-value bespoke orders.</w:t>
      </w:r>
    </w:p>
    <w:p>
      <w:pPr>
        <w:pStyle w:val="ListBullet"/>
        <w:spacing w:after="60" w:line="276" w:lineRule="auto"/>
      </w:pPr>
      <w:r>
        <w:rPr>
          <w:rFonts w:ascii="Calibri" w:hAnsi="Calibri"/>
          <w:b/>
          <w:color w:val="0F294A"/>
          <w:sz w:val="21"/>
        </w:rPr>
        <w:t xml:space="preserve">Payment Channel 4: </w:t>
      </w:r>
      <w:r>
        <w:rPr>
          <w:rFonts w:ascii="Calibri" w:hAnsi="Calibri"/>
          <w:color w:val="2D3748"/>
          <w:sz w:val="21"/>
        </w:rPr>
        <w:t>Cash on Delivery (COD): Accommodates local white-glove courier courier collection upon physical handover.</w:t>
      </w:r>
    </w:p>
    <w:p>
      <w:r>
        <w:br w:type="page"/>
      </w:r>
    </w:p>
    <w:p>
      <w:pPr>
        <w:keepNext/>
        <w:spacing w:before="440" w:after="160"/>
      </w:pPr>
      <w:r>
        <w:rPr>
          <w:rFonts w:ascii="Arial" w:hAnsi="Arial"/>
          <w:b/>
          <w:color w:val="0F294A"/>
          <w:sz w:val="32"/>
        </w:rPr>
        <w:t>5. Financial Model, Revenue Strategy &amp; Promotional Economics</w:t>
      </w:r>
    </w:p>
    <w:p>
      <w:pPr>
        <w:keepNext/>
        <w:spacing w:before="280" w:after="120"/>
      </w:pPr>
      <w:r>
        <w:rPr>
          <w:rFonts w:ascii="Arial" w:hAnsi="Arial"/>
          <w:b/>
          <w:color w:val="9A7B38"/>
          <w:sz w:val="25"/>
        </w:rPr>
        <w:t>5.1 Revenue Architecture &amp; Pricing Philosophy</w:t>
      </w:r>
    </w:p>
    <w:p>
      <w:pPr>
        <w:spacing w:after="120" w:line="283" w:lineRule="auto"/>
      </w:pPr>
      <w:r>
        <w:rPr>
          <w:rFonts w:ascii="Calibri" w:hAnsi="Calibri"/>
          <w:color w:val="2D3748"/>
          <w:sz w:val="21"/>
        </w:rPr>
        <w:t>Valenti Atelier operates on an 'Accessible Luxury' pricing model. By cutting out department store markups, the brand offers Savile Row-grade tailored garments at retail price points between £120.00 and £550.00, yielding healthy gross profit margins between 62% and 72% across all departments.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3024"/>
            <w:shd w:fill="0F294A"/>
            <w:tcMar>
              <w:top w:w="120" w:type="dxa"/>
              <w:bottom w:w="120" w:type="dxa"/>
              <w:left w:w="140" w:type="dxa"/>
              <w:right w:w="140" w:type="dxa"/>
            </w:tcMar>
          </w:tcPr>
          <w:p>
            <w:pPr>
              <w:jc w:val="left"/>
            </w:pPr>
            <w:r>
              <w:rPr>
                <w:rFonts w:ascii="Arial" w:hAnsi="Arial"/>
                <w:b/>
                <w:color w:val="FFFFFF"/>
                <w:sz w:val="19"/>
              </w:rPr>
              <w:t>Garment Piece</w:t>
            </w:r>
          </w:p>
        </w:tc>
        <w:tc>
          <w:tcPr>
            <w:tcW w:type="dxa" w:w="1584"/>
            <w:shd w:fill="0F294A"/>
            <w:tcMar>
              <w:top w:w="120" w:type="dxa"/>
              <w:bottom w:w="120" w:type="dxa"/>
              <w:left w:w="140" w:type="dxa"/>
              <w:right w:w="140" w:type="dxa"/>
            </w:tcMar>
          </w:tcPr>
          <w:p>
            <w:pPr>
              <w:jc w:val="left"/>
            </w:pPr>
            <w:r>
              <w:rPr>
                <w:rFonts w:ascii="Arial" w:hAnsi="Arial"/>
                <w:b/>
                <w:color w:val="FFFFFF"/>
                <w:sz w:val="19"/>
              </w:rPr>
              <w:t>Department</w:t>
            </w:r>
          </w:p>
        </w:tc>
        <w:tc>
          <w:tcPr>
            <w:tcW w:type="dxa" w:w="1584"/>
            <w:shd w:fill="0F294A"/>
            <w:tcMar>
              <w:top w:w="120" w:type="dxa"/>
              <w:bottom w:w="120" w:type="dxa"/>
              <w:left w:w="140" w:type="dxa"/>
              <w:right w:w="140" w:type="dxa"/>
            </w:tcMar>
          </w:tcPr>
          <w:p>
            <w:pPr>
              <w:jc w:val="left"/>
            </w:pPr>
            <w:r>
              <w:rPr>
                <w:rFonts w:ascii="Arial" w:hAnsi="Arial"/>
                <w:b/>
                <w:color w:val="FFFFFF"/>
                <w:sz w:val="19"/>
              </w:rPr>
              <w:t>Unit Production Cost</w:t>
            </w:r>
          </w:p>
        </w:tc>
        <w:tc>
          <w:tcPr>
            <w:tcW w:type="dxa" w:w="1584"/>
            <w:shd w:fill="0F294A"/>
            <w:tcMar>
              <w:top w:w="120" w:type="dxa"/>
              <w:bottom w:w="120" w:type="dxa"/>
              <w:left w:w="140" w:type="dxa"/>
              <w:right w:w="140" w:type="dxa"/>
            </w:tcMar>
          </w:tcPr>
          <w:p>
            <w:pPr>
              <w:jc w:val="left"/>
            </w:pPr>
            <w:r>
              <w:rPr>
                <w:rFonts w:ascii="Arial" w:hAnsi="Arial"/>
                <w:b/>
                <w:color w:val="FFFFFF"/>
                <w:sz w:val="19"/>
              </w:rPr>
              <w:t>Retail Price (£)</w:t>
            </w:r>
          </w:p>
        </w:tc>
        <w:tc>
          <w:tcPr>
            <w:tcW w:type="dxa" w:w="1584"/>
            <w:shd w:fill="0F294A"/>
            <w:tcMar>
              <w:top w:w="120" w:type="dxa"/>
              <w:bottom w:w="120" w:type="dxa"/>
              <w:left w:w="140" w:type="dxa"/>
              <w:right w:w="140" w:type="dxa"/>
            </w:tcMar>
          </w:tcPr>
          <w:p>
            <w:pPr>
              <w:jc w:val="left"/>
            </w:pPr>
            <w:r>
              <w:rPr>
                <w:rFonts w:ascii="Arial" w:hAnsi="Arial"/>
                <w:b/>
                <w:color w:val="FFFFFF"/>
                <w:sz w:val="19"/>
              </w:rPr>
              <w:t>Gross Margin (£ / %)</w:t>
            </w:r>
          </w:p>
        </w:tc>
      </w:tr>
      <w:tr>
        <w:tc>
          <w:tcPr>
            <w:tcW w:type="dxa" w:w="3024"/>
            <w:shd w:fill="FFFFFF"/>
            <w:tcMar>
              <w:top w:w="100" w:type="dxa"/>
              <w:bottom w:w="100" w:type="dxa"/>
              <w:left w:w="140" w:type="dxa"/>
              <w:right w:w="140" w:type="dxa"/>
            </w:tcMar>
          </w:tcPr>
          <w:p>
            <w:pPr>
              <w:jc w:val="left"/>
            </w:pPr>
            <w:r>
              <w:rPr>
                <w:rFonts w:ascii="Calibri" w:hAnsi="Calibri"/>
                <w:color w:val="2D3748"/>
                <w:sz w:val="19"/>
              </w:rPr>
              <w:t>The Savile Cashmere Overcoat</w:t>
            </w:r>
          </w:p>
        </w:tc>
        <w:tc>
          <w:tcPr>
            <w:tcW w:type="dxa" w:w="1584"/>
            <w:shd w:fill="FFFFFF"/>
            <w:tcMar>
              <w:top w:w="100" w:type="dxa"/>
              <w:bottom w:w="100" w:type="dxa"/>
              <w:left w:w="140" w:type="dxa"/>
              <w:right w:w="140" w:type="dxa"/>
            </w:tcMar>
          </w:tcPr>
          <w:p>
            <w:pPr>
              <w:jc w:val="left"/>
            </w:pPr>
            <w:r>
              <w:rPr>
                <w:rFonts w:ascii="Calibri" w:hAnsi="Calibri"/>
                <w:color w:val="2D3748"/>
                <w:sz w:val="19"/>
              </w:rPr>
              <w:t>Outerwear</w:t>
            </w:r>
          </w:p>
        </w:tc>
        <w:tc>
          <w:tcPr>
            <w:tcW w:type="dxa" w:w="1584"/>
            <w:shd w:fill="FFFFFF"/>
            <w:tcMar>
              <w:top w:w="100" w:type="dxa"/>
              <w:bottom w:w="100" w:type="dxa"/>
              <w:left w:w="140" w:type="dxa"/>
              <w:right w:w="140" w:type="dxa"/>
            </w:tcMar>
          </w:tcPr>
          <w:p>
            <w:pPr>
              <w:jc w:val="left"/>
            </w:pPr>
            <w:r>
              <w:rPr>
                <w:rFonts w:ascii="Calibri" w:hAnsi="Calibri"/>
                <w:color w:val="2D3748"/>
                <w:sz w:val="19"/>
              </w:rPr>
              <w:t>£145.00</w:t>
            </w:r>
          </w:p>
        </w:tc>
        <w:tc>
          <w:tcPr>
            <w:tcW w:type="dxa" w:w="1584"/>
            <w:shd w:fill="FFFFFF"/>
            <w:tcMar>
              <w:top w:w="100" w:type="dxa"/>
              <w:bottom w:w="100" w:type="dxa"/>
              <w:left w:w="140" w:type="dxa"/>
              <w:right w:w="140" w:type="dxa"/>
            </w:tcMar>
          </w:tcPr>
          <w:p>
            <w:pPr>
              <w:jc w:val="left"/>
            </w:pPr>
            <w:r>
              <w:rPr>
                <w:rFonts w:ascii="Calibri" w:hAnsi="Calibri"/>
                <w:color w:val="2D3748"/>
                <w:sz w:val="19"/>
              </w:rPr>
              <w:t>£480.00</w:t>
            </w:r>
          </w:p>
        </w:tc>
        <w:tc>
          <w:tcPr>
            <w:tcW w:type="dxa" w:w="1584"/>
            <w:shd w:fill="FFFFFF"/>
            <w:tcMar>
              <w:top w:w="100" w:type="dxa"/>
              <w:bottom w:w="100" w:type="dxa"/>
              <w:left w:w="140" w:type="dxa"/>
              <w:right w:w="140" w:type="dxa"/>
            </w:tcMar>
          </w:tcPr>
          <w:p>
            <w:pPr>
              <w:jc w:val="left"/>
            </w:pPr>
            <w:r>
              <w:rPr>
                <w:rFonts w:ascii="Calibri" w:hAnsi="Calibri"/>
                <w:color w:val="2D3748"/>
                <w:sz w:val="19"/>
              </w:rPr>
              <w:t>£335.00 (69.8%)</w:t>
            </w:r>
          </w:p>
        </w:tc>
      </w:tr>
      <w:tr>
        <w:tc>
          <w:tcPr>
            <w:tcW w:type="dxa" w:w="3024"/>
            <w:shd w:fill="F8FAFC"/>
            <w:tcMar>
              <w:top w:w="100" w:type="dxa"/>
              <w:bottom w:w="100" w:type="dxa"/>
              <w:left w:w="140" w:type="dxa"/>
              <w:right w:w="140" w:type="dxa"/>
            </w:tcMar>
          </w:tcPr>
          <w:p>
            <w:pPr>
              <w:jc w:val="left"/>
            </w:pPr>
            <w:r>
              <w:rPr>
                <w:rFonts w:ascii="Calibri" w:hAnsi="Calibri"/>
                <w:color w:val="2D3748"/>
                <w:sz w:val="19"/>
              </w:rPr>
              <w:t>Architectural Double-Breasted Blazer</w:t>
            </w:r>
          </w:p>
        </w:tc>
        <w:tc>
          <w:tcPr>
            <w:tcW w:type="dxa" w:w="1584"/>
            <w:shd w:fill="F8FAFC"/>
            <w:tcMar>
              <w:top w:w="100" w:type="dxa"/>
              <w:bottom w:w="100" w:type="dxa"/>
              <w:left w:w="140" w:type="dxa"/>
              <w:right w:w="140" w:type="dxa"/>
            </w:tcMar>
          </w:tcPr>
          <w:p>
            <w:pPr>
              <w:jc w:val="left"/>
            </w:pPr>
            <w:r>
              <w:rPr>
                <w:rFonts w:ascii="Calibri" w:hAnsi="Calibri"/>
                <w:color w:val="2D3748"/>
                <w:sz w:val="19"/>
              </w:rPr>
              <w:t>Tailoring</w:t>
            </w:r>
          </w:p>
        </w:tc>
        <w:tc>
          <w:tcPr>
            <w:tcW w:type="dxa" w:w="1584"/>
            <w:shd w:fill="F8FAFC"/>
            <w:tcMar>
              <w:top w:w="100" w:type="dxa"/>
              <w:bottom w:w="100" w:type="dxa"/>
              <w:left w:w="140" w:type="dxa"/>
              <w:right w:w="140" w:type="dxa"/>
            </w:tcMar>
          </w:tcPr>
          <w:p>
            <w:pPr>
              <w:jc w:val="left"/>
            </w:pPr>
            <w:r>
              <w:rPr>
                <w:rFonts w:ascii="Calibri" w:hAnsi="Calibri"/>
                <w:color w:val="2D3748"/>
                <w:sz w:val="19"/>
              </w:rPr>
              <w:t>£85.00</w:t>
            </w:r>
          </w:p>
        </w:tc>
        <w:tc>
          <w:tcPr>
            <w:tcW w:type="dxa" w:w="1584"/>
            <w:shd w:fill="F8FAFC"/>
            <w:tcMar>
              <w:top w:w="100" w:type="dxa"/>
              <w:bottom w:w="100" w:type="dxa"/>
              <w:left w:w="140" w:type="dxa"/>
              <w:right w:w="140" w:type="dxa"/>
            </w:tcMar>
          </w:tcPr>
          <w:p>
            <w:pPr>
              <w:jc w:val="left"/>
            </w:pPr>
            <w:r>
              <w:rPr>
                <w:rFonts w:ascii="Calibri" w:hAnsi="Calibri"/>
                <w:color w:val="2D3748"/>
                <w:sz w:val="19"/>
              </w:rPr>
              <w:t>£295.00</w:t>
            </w:r>
          </w:p>
        </w:tc>
        <w:tc>
          <w:tcPr>
            <w:tcW w:type="dxa" w:w="1584"/>
            <w:shd w:fill="F8FAFC"/>
            <w:tcMar>
              <w:top w:w="100" w:type="dxa"/>
              <w:bottom w:w="100" w:type="dxa"/>
              <w:left w:w="140" w:type="dxa"/>
              <w:right w:w="140" w:type="dxa"/>
            </w:tcMar>
          </w:tcPr>
          <w:p>
            <w:pPr>
              <w:jc w:val="left"/>
            </w:pPr>
            <w:r>
              <w:rPr>
                <w:rFonts w:ascii="Calibri" w:hAnsi="Calibri"/>
                <w:color w:val="2D3748"/>
                <w:sz w:val="19"/>
              </w:rPr>
              <w:t>£210.00 (71.2%)</w:t>
            </w:r>
          </w:p>
        </w:tc>
      </w:tr>
      <w:tr>
        <w:tc>
          <w:tcPr>
            <w:tcW w:type="dxa" w:w="3024"/>
            <w:shd w:fill="FFFFFF"/>
            <w:tcMar>
              <w:top w:w="100" w:type="dxa"/>
              <w:bottom w:w="100" w:type="dxa"/>
              <w:left w:w="140" w:type="dxa"/>
              <w:right w:w="140" w:type="dxa"/>
            </w:tcMar>
          </w:tcPr>
          <w:p>
            <w:pPr>
              <w:jc w:val="left"/>
            </w:pPr>
            <w:r>
              <w:rPr>
                <w:rFonts w:ascii="Calibri" w:hAnsi="Calibri"/>
                <w:color w:val="2D3748"/>
                <w:sz w:val="19"/>
              </w:rPr>
              <w:t>Pleated Wide-Leg Wool Trousers</w:t>
            </w:r>
          </w:p>
        </w:tc>
        <w:tc>
          <w:tcPr>
            <w:tcW w:type="dxa" w:w="1584"/>
            <w:shd w:fill="FFFFFF"/>
            <w:tcMar>
              <w:top w:w="100" w:type="dxa"/>
              <w:bottom w:w="100" w:type="dxa"/>
              <w:left w:w="140" w:type="dxa"/>
              <w:right w:w="140" w:type="dxa"/>
            </w:tcMar>
          </w:tcPr>
          <w:p>
            <w:pPr>
              <w:jc w:val="left"/>
            </w:pPr>
            <w:r>
              <w:rPr>
                <w:rFonts w:ascii="Calibri" w:hAnsi="Calibri"/>
                <w:color w:val="2D3748"/>
                <w:sz w:val="19"/>
              </w:rPr>
              <w:t>Trousers</w:t>
            </w:r>
          </w:p>
        </w:tc>
        <w:tc>
          <w:tcPr>
            <w:tcW w:type="dxa" w:w="1584"/>
            <w:shd w:fill="FFFFFF"/>
            <w:tcMar>
              <w:top w:w="100" w:type="dxa"/>
              <w:bottom w:w="100" w:type="dxa"/>
              <w:left w:w="140" w:type="dxa"/>
              <w:right w:w="140" w:type="dxa"/>
            </w:tcMar>
          </w:tcPr>
          <w:p>
            <w:pPr>
              <w:jc w:val="left"/>
            </w:pPr>
            <w:r>
              <w:rPr>
                <w:rFonts w:ascii="Calibri" w:hAnsi="Calibri"/>
                <w:color w:val="2D3748"/>
                <w:sz w:val="19"/>
              </w:rPr>
              <w:t>£52.00</w:t>
            </w:r>
          </w:p>
        </w:tc>
        <w:tc>
          <w:tcPr>
            <w:tcW w:type="dxa" w:w="1584"/>
            <w:shd w:fill="FFFFFF"/>
            <w:tcMar>
              <w:top w:w="100" w:type="dxa"/>
              <w:bottom w:w="100" w:type="dxa"/>
              <w:left w:w="140" w:type="dxa"/>
              <w:right w:w="140" w:type="dxa"/>
            </w:tcMar>
          </w:tcPr>
          <w:p>
            <w:pPr>
              <w:jc w:val="left"/>
            </w:pPr>
            <w:r>
              <w:rPr>
                <w:rFonts w:ascii="Calibri" w:hAnsi="Calibri"/>
                <w:color w:val="2D3748"/>
                <w:sz w:val="19"/>
              </w:rPr>
              <w:t>£185.00</w:t>
            </w:r>
          </w:p>
        </w:tc>
        <w:tc>
          <w:tcPr>
            <w:tcW w:type="dxa" w:w="1584"/>
            <w:shd w:fill="FFFFFF"/>
            <w:tcMar>
              <w:top w:w="100" w:type="dxa"/>
              <w:bottom w:w="100" w:type="dxa"/>
              <w:left w:w="140" w:type="dxa"/>
              <w:right w:w="140" w:type="dxa"/>
            </w:tcMar>
          </w:tcPr>
          <w:p>
            <w:pPr>
              <w:jc w:val="left"/>
            </w:pPr>
            <w:r>
              <w:rPr>
                <w:rFonts w:ascii="Calibri" w:hAnsi="Calibri"/>
                <w:color w:val="2D3748"/>
                <w:sz w:val="19"/>
              </w:rPr>
              <w:t>£133.00 (71.9%)</w:t>
            </w:r>
          </w:p>
        </w:tc>
      </w:tr>
      <w:tr>
        <w:tc>
          <w:tcPr>
            <w:tcW w:type="dxa" w:w="3024"/>
            <w:shd w:fill="F8FAFC"/>
            <w:tcMar>
              <w:top w:w="100" w:type="dxa"/>
              <w:bottom w:w="100" w:type="dxa"/>
              <w:left w:w="140" w:type="dxa"/>
              <w:right w:w="140" w:type="dxa"/>
            </w:tcMar>
          </w:tcPr>
          <w:p>
            <w:pPr>
              <w:jc w:val="left"/>
            </w:pPr>
            <w:r>
              <w:rPr>
                <w:rFonts w:ascii="Calibri" w:hAnsi="Calibri"/>
                <w:color w:val="2D3748"/>
                <w:sz w:val="19"/>
              </w:rPr>
              <w:t>Fluid Mulberry Silk Evening Slip</w:t>
            </w:r>
          </w:p>
        </w:tc>
        <w:tc>
          <w:tcPr>
            <w:tcW w:type="dxa" w:w="1584"/>
            <w:shd w:fill="F8FAFC"/>
            <w:tcMar>
              <w:top w:w="100" w:type="dxa"/>
              <w:bottom w:w="100" w:type="dxa"/>
              <w:left w:w="140" w:type="dxa"/>
              <w:right w:w="140" w:type="dxa"/>
            </w:tcMar>
          </w:tcPr>
          <w:p>
            <w:pPr>
              <w:jc w:val="left"/>
            </w:pPr>
            <w:r>
              <w:rPr>
                <w:rFonts w:ascii="Calibri" w:hAnsi="Calibri"/>
                <w:color w:val="2D3748"/>
                <w:sz w:val="19"/>
              </w:rPr>
              <w:t>Dresses</w:t>
            </w:r>
          </w:p>
        </w:tc>
        <w:tc>
          <w:tcPr>
            <w:tcW w:type="dxa" w:w="1584"/>
            <w:shd w:fill="F8FAFC"/>
            <w:tcMar>
              <w:top w:w="100" w:type="dxa"/>
              <w:bottom w:w="100" w:type="dxa"/>
              <w:left w:w="140" w:type="dxa"/>
              <w:right w:w="140" w:type="dxa"/>
            </w:tcMar>
          </w:tcPr>
          <w:p>
            <w:pPr>
              <w:jc w:val="left"/>
            </w:pPr>
            <w:r>
              <w:rPr>
                <w:rFonts w:ascii="Calibri" w:hAnsi="Calibri"/>
                <w:color w:val="2D3748"/>
                <w:sz w:val="19"/>
              </w:rPr>
              <w:t>£70.00</w:t>
            </w:r>
          </w:p>
        </w:tc>
        <w:tc>
          <w:tcPr>
            <w:tcW w:type="dxa" w:w="1584"/>
            <w:shd w:fill="F8FAFC"/>
            <w:tcMar>
              <w:top w:w="100" w:type="dxa"/>
              <w:bottom w:w="100" w:type="dxa"/>
              <w:left w:w="140" w:type="dxa"/>
              <w:right w:w="140" w:type="dxa"/>
            </w:tcMar>
          </w:tcPr>
          <w:p>
            <w:pPr>
              <w:jc w:val="left"/>
            </w:pPr>
            <w:r>
              <w:rPr>
                <w:rFonts w:ascii="Calibri" w:hAnsi="Calibri"/>
                <w:color w:val="2D3748"/>
                <w:sz w:val="19"/>
              </w:rPr>
              <w:t>£240.00</w:t>
            </w:r>
          </w:p>
        </w:tc>
        <w:tc>
          <w:tcPr>
            <w:tcW w:type="dxa" w:w="1584"/>
            <w:shd w:fill="F8FAFC"/>
            <w:tcMar>
              <w:top w:w="100" w:type="dxa"/>
              <w:bottom w:w="100" w:type="dxa"/>
              <w:left w:w="140" w:type="dxa"/>
              <w:right w:w="140" w:type="dxa"/>
            </w:tcMar>
          </w:tcPr>
          <w:p>
            <w:pPr>
              <w:jc w:val="left"/>
            </w:pPr>
            <w:r>
              <w:rPr>
                <w:rFonts w:ascii="Calibri" w:hAnsi="Calibri"/>
                <w:color w:val="2D3748"/>
                <w:sz w:val="19"/>
              </w:rPr>
              <w:t>£170.00 (70.8%)</w:t>
            </w:r>
          </w:p>
        </w:tc>
      </w:tr>
      <w:tr>
        <w:tc>
          <w:tcPr>
            <w:tcW w:type="dxa" w:w="3024"/>
            <w:shd w:fill="FFFFFF"/>
            <w:tcMar>
              <w:top w:w="100" w:type="dxa"/>
              <w:bottom w:w="100" w:type="dxa"/>
              <w:left w:w="140" w:type="dxa"/>
              <w:right w:w="140" w:type="dxa"/>
            </w:tcMar>
          </w:tcPr>
          <w:p>
            <w:pPr>
              <w:jc w:val="left"/>
            </w:pPr>
            <w:r>
              <w:rPr>
                <w:rFonts w:ascii="Calibri" w:hAnsi="Calibri"/>
                <w:color w:val="2D3748"/>
                <w:sz w:val="19"/>
              </w:rPr>
              <w:t>Heavyweight French Terry Hoodie</w:t>
            </w:r>
          </w:p>
        </w:tc>
        <w:tc>
          <w:tcPr>
            <w:tcW w:type="dxa" w:w="1584"/>
            <w:shd w:fill="FFFFFF"/>
            <w:tcMar>
              <w:top w:w="100" w:type="dxa"/>
              <w:bottom w:w="100" w:type="dxa"/>
              <w:left w:w="140" w:type="dxa"/>
              <w:right w:w="140" w:type="dxa"/>
            </w:tcMar>
          </w:tcPr>
          <w:p>
            <w:pPr>
              <w:jc w:val="left"/>
            </w:pPr>
            <w:r>
              <w:rPr>
                <w:rFonts w:ascii="Calibri" w:hAnsi="Calibri"/>
                <w:color w:val="2D3748"/>
                <w:sz w:val="19"/>
              </w:rPr>
              <w:t>Knitwear</w:t>
            </w:r>
          </w:p>
        </w:tc>
        <w:tc>
          <w:tcPr>
            <w:tcW w:type="dxa" w:w="1584"/>
            <w:shd w:fill="FFFFFF"/>
            <w:tcMar>
              <w:top w:w="100" w:type="dxa"/>
              <w:bottom w:w="100" w:type="dxa"/>
              <w:left w:w="140" w:type="dxa"/>
              <w:right w:w="140" w:type="dxa"/>
            </w:tcMar>
          </w:tcPr>
          <w:p>
            <w:pPr>
              <w:jc w:val="left"/>
            </w:pPr>
            <w:r>
              <w:rPr>
                <w:rFonts w:ascii="Calibri" w:hAnsi="Calibri"/>
                <w:color w:val="2D3748"/>
                <w:sz w:val="19"/>
              </w:rPr>
              <w:t>£38.00</w:t>
            </w:r>
          </w:p>
        </w:tc>
        <w:tc>
          <w:tcPr>
            <w:tcW w:type="dxa" w:w="1584"/>
            <w:shd w:fill="FFFFFF"/>
            <w:tcMar>
              <w:top w:w="100" w:type="dxa"/>
              <w:bottom w:w="100" w:type="dxa"/>
              <w:left w:w="140" w:type="dxa"/>
              <w:right w:w="140" w:type="dxa"/>
            </w:tcMar>
          </w:tcPr>
          <w:p>
            <w:pPr>
              <w:jc w:val="left"/>
            </w:pPr>
            <w:r>
              <w:rPr>
                <w:rFonts w:ascii="Calibri" w:hAnsi="Calibri"/>
                <w:color w:val="2D3748"/>
                <w:sz w:val="19"/>
              </w:rPr>
              <w:t>£125.00</w:t>
            </w:r>
          </w:p>
        </w:tc>
        <w:tc>
          <w:tcPr>
            <w:tcW w:type="dxa" w:w="1584"/>
            <w:shd w:fill="FFFFFF"/>
            <w:tcMar>
              <w:top w:w="100" w:type="dxa"/>
              <w:bottom w:w="100" w:type="dxa"/>
              <w:left w:w="140" w:type="dxa"/>
              <w:right w:w="140" w:type="dxa"/>
            </w:tcMar>
          </w:tcPr>
          <w:p>
            <w:pPr>
              <w:jc w:val="left"/>
            </w:pPr>
            <w:r>
              <w:rPr>
                <w:rFonts w:ascii="Calibri" w:hAnsi="Calibri"/>
                <w:color w:val="2D3748"/>
                <w:sz w:val="19"/>
              </w:rPr>
              <w:t>£87.00 (69.6%)</w:t>
            </w:r>
          </w:p>
        </w:tc>
      </w:tr>
    </w:tbl>
    <w:p>
      <w:pPr>
        <w:spacing w:after="120"/>
      </w:pPr>
    </w:p>
    <w:p>
      <w:pPr>
        <w:keepNext/>
        <w:spacing w:before="280" w:after="120"/>
      </w:pPr>
      <w:r>
        <w:rPr>
          <w:rFonts w:ascii="Arial" w:hAnsi="Arial"/>
          <w:b/>
          <w:color w:val="9A7B38"/>
          <w:sz w:val="25"/>
        </w:rPr>
        <w:t>5.2 Promotional Voucher Economics</w:t>
      </w:r>
    </w:p>
    <w:p>
      <w:pPr>
        <w:spacing w:after="120" w:line="283" w:lineRule="auto"/>
      </w:pPr>
      <w:r>
        <w:rPr>
          <w:rFonts w:ascii="Calibri" w:hAnsi="Calibri"/>
          <w:color w:val="2D3748"/>
          <w:sz w:val="21"/>
        </w:rPr>
        <w:t>Promotional vouchers are engineered to stimulate customer acquisition without eroding brand equity. For example, the `SEN803` 20% discount requires a minimum spend of £50.00. On an average shopping basket of £300.00, the 20% deduction (£60.00) reduces net revenue to £240.00. Given a blended cost-of-goods-sold (COGS) of £88.00, the transaction still delivers £152.00 in gross margin (63.3%), successfully transforming an initial conversion incentive into an exceptionally profitable sale.</w:t>
      </w:r>
    </w:p>
    <w:p>
      <w:pPr>
        <w:keepNext/>
        <w:spacing w:before="280" w:after="120"/>
      </w:pPr>
      <w:r>
        <w:rPr>
          <w:rFonts w:ascii="Arial" w:hAnsi="Arial"/>
          <w:b/>
          <w:color w:val="9A7B38"/>
          <w:sz w:val="25"/>
        </w:rPr>
        <w:t>5.3 3-Year Pro Forma Financial Projections</w:t>
      </w:r>
    </w:p>
    <w:p>
      <w:pPr>
        <w:spacing w:after="120" w:line="283" w:lineRule="auto"/>
      </w:pPr>
      <w:r>
        <w:rPr>
          <w:rFonts w:ascii="Calibri" w:hAnsi="Calibri"/>
          <w:color w:val="2D3748"/>
          <w:sz w:val="21"/>
        </w:rPr>
        <w:t>Based on a phased digital marketing strategy (influencer capsule seeding, organic editorial search traffic, and targeted social acquisition), the 3-year forecast projects:</w:t>
      </w:r>
    </w:p>
    <w:tbl>
      <w:tblPr>
        <w:tblW w:type="auto" w:w="0"/>
        <w:jc w:val="center"/>
        <w:tblLook w:firstColumn="1" w:firstRow="1" w:lastColumn="0" w:lastRow="0" w:noHBand="0" w:noVBand="1" w:val="04A0"/>
      </w:tblPr>
      <w:tblGrid>
        <w:gridCol w:w="2340"/>
        <w:gridCol w:w="2340"/>
        <w:gridCol w:w="2340"/>
        <w:gridCol w:w="2340"/>
      </w:tblGrid>
      <w:tr>
        <w:tc>
          <w:tcPr>
            <w:tcW w:type="dxa" w:w="3168"/>
            <w:shd w:fill="0F294A"/>
            <w:tcMar>
              <w:top w:w="120" w:type="dxa"/>
              <w:bottom w:w="120" w:type="dxa"/>
              <w:left w:w="140" w:type="dxa"/>
              <w:right w:w="140" w:type="dxa"/>
            </w:tcMar>
          </w:tcPr>
          <w:p>
            <w:pPr>
              <w:jc w:val="left"/>
            </w:pPr>
            <w:r>
              <w:rPr>
                <w:rFonts w:ascii="Arial" w:hAnsi="Arial"/>
                <w:b/>
                <w:color w:val="FFFFFF"/>
                <w:sz w:val="19"/>
              </w:rPr>
              <w:t>Metric</w:t>
            </w:r>
          </w:p>
        </w:tc>
        <w:tc>
          <w:tcPr>
            <w:tcW w:type="dxa" w:w="2016"/>
            <w:shd w:fill="0F294A"/>
            <w:tcMar>
              <w:top w:w="120" w:type="dxa"/>
              <w:bottom w:w="120" w:type="dxa"/>
              <w:left w:w="140" w:type="dxa"/>
              <w:right w:w="140" w:type="dxa"/>
            </w:tcMar>
          </w:tcPr>
          <w:p>
            <w:pPr>
              <w:jc w:val="left"/>
            </w:pPr>
            <w:r>
              <w:rPr>
                <w:rFonts w:ascii="Arial" w:hAnsi="Arial"/>
                <w:b/>
                <w:color w:val="FFFFFF"/>
                <w:sz w:val="19"/>
              </w:rPr>
              <w:t>Year 1 (Launch)</w:t>
            </w:r>
          </w:p>
        </w:tc>
        <w:tc>
          <w:tcPr>
            <w:tcW w:type="dxa" w:w="2016"/>
            <w:shd w:fill="0F294A"/>
            <w:tcMar>
              <w:top w:w="120" w:type="dxa"/>
              <w:bottom w:w="120" w:type="dxa"/>
              <w:left w:w="140" w:type="dxa"/>
              <w:right w:w="140" w:type="dxa"/>
            </w:tcMar>
          </w:tcPr>
          <w:p>
            <w:pPr>
              <w:jc w:val="left"/>
            </w:pPr>
            <w:r>
              <w:rPr>
                <w:rFonts w:ascii="Arial" w:hAnsi="Arial"/>
                <w:b/>
                <w:color w:val="FFFFFF"/>
                <w:sz w:val="19"/>
              </w:rPr>
              <w:t>Year 2 (Expansion)</w:t>
            </w:r>
          </w:p>
        </w:tc>
        <w:tc>
          <w:tcPr>
            <w:tcW w:type="dxa" w:w="2160"/>
            <w:shd w:fill="0F294A"/>
            <w:tcMar>
              <w:top w:w="120" w:type="dxa"/>
              <w:bottom w:w="120" w:type="dxa"/>
              <w:left w:w="140" w:type="dxa"/>
              <w:right w:w="140" w:type="dxa"/>
            </w:tcMar>
          </w:tcPr>
          <w:p>
            <w:pPr>
              <w:jc w:val="left"/>
            </w:pPr>
            <w:r>
              <w:rPr>
                <w:rFonts w:ascii="Arial" w:hAnsi="Arial"/>
                <w:b/>
                <w:color w:val="FFFFFF"/>
                <w:sz w:val="19"/>
              </w:rPr>
              <w:t>Year 3 (Maturity)</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Total Processed Orders</w:t>
            </w:r>
          </w:p>
        </w:tc>
        <w:tc>
          <w:tcPr>
            <w:tcW w:type="dxa" w:w="2016"/>
            <w:shd w:fill="FFFFFF"/>
            <w:tcMar>
              <w:top w:w="100" w:type="dxa"/>
              <w:bottom w:w="100" w:type="dxa"/>
              <w:left w:w="140" w:type="dxa"/>
              <w:right w:w="140" w:type="dxa"/>
            </w:tcMar>
          </w:tcPr>
          <w:p>
            <w:pPr>
              <w:jc w:val="left"/>
            </w:pPr>
            <w:r>
              <w:rPr>
                <w:rFonts w:ascii="Calibri" w:hAnsi="Calibri"/>
                <w:color w:val="2D3748"/>
                <w:sz w:val="19"/>
              </w:rPr>
              <w:t>3,200 orders</w:t>
            </w:r>
          </w:p>
        </w:tc>
        <w:tc>
          <w:tcPr>
            <w:tcW w:type="dxa" w:w="2016"/>
            <w:shd w:fill="FFFFFF"/>
            <w:tcMar>
              <w:top w:w="100" w:type="dxa"/>
              <w:bottom w:w="100" w:type="dxa"/>
              <w:left w:w="140" w:type="dxa"/>
              <w:right w:w="140" w:type="dxa"/>
            </w:tcMar>
          </w:tcPr>
          <w:p>
            <w:pPr>
              <w:jc w:val="left"/>
            </w:pPr>
            <w:r>
              <w:rPr>
                <w:rFonts w:ascii="Calibri" w:hAnsi="Calibri"/>
                <w:color w:val="2D3748"/>
                <w:sz w:val="19"/>
              </w:rPr>
              <w:t>8,500 orders</w:t>
            </w:r>
          </w:p>
        </w:tc>
        <w:tc>
          <w:tcPr>
            <w:tcW w:type="dxa" w:w="2160"/>
            <w:shd w:fill="FFFFFF"/>
            <w:tcMar>
              <w:top w:w="100" w:type="dxa"/>
              <w:bottom w:w="100" w:type="dxa"/>
              <w:left w:w="140" w:type="dxa"/>
              <w:right w:w="140" w:type="dxa"/>
            </w:tcMar>
          </w:tcPr>
          <w:p>
            <w:pPr>
              <w:jc w:val="left"/>
            </w:pPr>
            <w:r>
              <w:rPr>
                <w:rFonts w:ascii="Calibri" w:hAnsi="Calibri"/>
                <w:color w:val="2D3748"/>
                <w:sz w:val="19"/>
              </w:rPr>
              <w:t>19,200 orders</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Average Order Value (AOV)</w:t>
            </w:r>
          </w:p>
        </w:tc>
        <w:tc>
          <w:tcPr>
            <w:tcW w:type="dxa" w:w="2016"/>
            <w:shd w:fill="F8FAFC"/>
            <w:tcMar>
              <w:top w:w="100" w:type="dxa"/>
              <w:bottom w:w="100" w:type="dxa"/>
              <w:left w:w="140" w:type="dxa"/>
              <w:right w:w="140" w:type="dxa"/>
            </w:tcMar>
          </w:tcPr>
          <w:p>
            <w:pPr>
              <w:jc w:val="left"/>
            </w:pPr>
            <w:r>
              <w:rPr>
                <w:rFonts w:ascii="Calibri" w:hAnsi="Calibri"/>
                <w:color w:val="2D3748"/>
                <w:sz w:val="19"/>
              </w:rPr>
              <w:t>£210.00</w:t>
            </w:r>
          </w:p>
        </w:tc>
        <w:tc>
          <w:tcPr>
            <w:tcW w:type="dxa" w:w="2016"/>
            <w:shd w:fill="F8FAFC"/>
            <w:tcMar>
              <w:top w:w="100" w:type="dxa"/>
              <w:bottom w:w="100" w:type="dxa"/>
              <w:left w:w="140" w:type="dxa"/>
              <w:right w:w="140" w:type="dxa"/>
            </w:tcMar>
          </w:tcPr>
          <w:p>
            <w:pPr>
              <w:jc w:val="left"/>
            </w:pPr>
            <w:r>
              <w:rPr>
                <w:rFonts w:ascii="Calibri" w:hAnsi="Calibri"/>
                <w:color w:val="2D3748"/>
                <w:sz w:val="19"/>
              </w:rPr>
              <w:t>£235.00</w:t>
            </w:r>
          </w:p>
        </w:tc>
        <w:tc>
          <w:tcPr>
            <w:tcW w:type="dxa" w:w="2160"/>
            <w:shd w:fill="F8FAFC"/>
            <w:tcMar>
              <w:top w:w="100" w:type="dxa"/>
              <w:bottom w:w="100" w:type="dxa"/>
              <w:left w:w="140" w:type="dxa"/>
              <w:right w:w="140" w:type="dxa"/>
            </w:tcMar>
          </w:tcPr>
          <w:p>
            <w:pPr>
              <w:jc w:val="left"/>
            </w:pPr>
            <w:r>
              <w:rPr>
                <w:rFonts w:ascii="Calibri" w:hAnsi="Calibri"/>
                <w:color w:val="2D3748"/>
                <w:sz w:val="19"/>
              </w:rPr>
              <w:t>£260.00</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Gross Merchandise Value (GMV)</w:t>
            </w:r>
          </w:p>
        </w:tc>
        <w:tc>
          <w:tcPr>
            <w:tcW w:type="dxa" w:w="2016"/>
            <w:shd w:fill="FFFFFF"/>
            <w:tcMar>
              <w:top w:w="100" w:type="dxa"/>
              <w:bottom w:w="100" w:type="dxa"/>
              <w:left w:w="140" w:type="dxa"/>
              <w:right w:w="140" w:type="dxa"/>
            </w:tcMar>
          </w:tcPr>
          <w:p>
            <w:pPr>
              <w:jc w:val="left"/>
            </w:pPr>
            <w:r>
              <w:rPr>
                <w:rFonts w:ascii="Calibri" w:hAnsi="Calibri"/>
                <w:color w:val="2D3748"/>
                <w:sz w:val="19"/>
              </w:rPr>
              <w:t>£672,000</w:t>
            </w:r>
          </w:p>
        </w:tc>
        <w:tc>
          <w:tcPr>
            <w:tcW w:type="dxa" w:w="2016"/>
            <w:shd w:fill="FFFFFF"/>
            <w:tcMar>
              <w:top w:w="100" w:type="dxa"/>
              <w:bottom w:w="100" w:type="dxa"/>
              <w:left w:w="140" w:type="dxa"/>
              <w:right w:w="140" w:type="dxa"/>
            </w:tcMar>
          </w:tcPr>
          <w:p>
            <w:pPr>
              <w:jc w:val="left"/>
            </w:pPr>
            <w:r>
              <w:rPr>
                <w:rFonts w:ascii="Calibri" w:hAnsi="Calibri"/>
                <w:color w:val="2D3748"/>
                <w:sz w:val="19"/>
              </w:rPr>
              <w:t>£1,997,500</w:t>
            </w:r>
          </w:p>
        </w:tc>
        <w:tc>
          <w:tcPr>
            <w:tcW w:type="dxa" w:w="2160"/>
            <w:shd w:fill="FFFFFF"/>
            <w:tcMar>
              <w:top w:w="100" w:type="dxa"/>
              <w:bottom w:w="100" w:type="dxa"/>
              <w:left w:w="140" w:type="dxa"/>
              <w:right w:w="140" w:type="dxa"/>
            </w:tcMar>
          </w:tcPr>
          <w:p>
            <w:pPr>
              <w:jc w:val="left"/>
            </w:pPr>
            <w:r>
              <w:rPr>
                <w:rFonts w:ascii="Calibri" w:hAnsi="Calibri"/>
                <w:color w:val="2D3748"/>
                <w:sz w:val="19"/>
              </w:rPr>
              <w:t>£4,992,000</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Cost of Goods Sold (COGS)</w:t>
            </w:r>
          </w:p>
        </w:tc>
        <w:tc>
          <w:tcPr>
            <w:tcW w:type="dxa" w:w="2016"/>
            <w:shd w:fill="F8FAFC"/>
            <w:tcMar>
              <w:top w:w="100" w:type="dxa"/>
              <w:bottom w:w="100" w:type="dxa"/>
              <w:left w:w="140" w:type="dxa"/>
              <w:right w:w="140" w:type="dxa"/>
            </w:tcMar>
          </w:tcPr>
          <w:p>
            <w:pPr>
              <w:jc w:val="left"/>
            </w:pPr>
            <w:r>
              <w:rPr>
                <w:rFonts w:ascii="Calibri" w:hAnsi="Calibri"/>
                <w:color w:val="2D3748"/>
                <w:sz w:val="19"/>
              </w:rPr>
              <w:t>(£215,040)</w:t>
            </w:r>
          </w:p>
        </w:tc>
        <w:tc>
          <w:tcPr>
            <w:tcW w:type="dxa" w:w="2016"/>
            <w:shd w:fill="F8FAFC"/>
            <w:tcMar>
              <w:top w:w="100" w:type="dxa"/>
              <w:bottom w:w="100" w:type="dxa"/>
              <w:left w:w="140" w:type="dxa"/>
              <w:right w:w="140" w:type="dxa"/>
            </w:tcMar>
          </w:tcPr>
          <w:p>
            <w:pPr>
              <w:jc w:val="left"/>
            </w:pPr>
            <w:r>
              <w:rPr>
                <w:rFonts w:ascii="Calibri" w:hAnsi="Calibri"/>
                <w:color w:val="2D3748"/>
                <w:sz w:val="19"/>
              </w:rPr>
              <w:t>(£619,225)</w:t>
            </w:r>
          </w:p>
        </w:tc>
        <w:tc>
          <w:tcPr>
            <w:tcW w:type="dxa" w:w="2160"/>
            <w:shd w:fill="F8FAFC"/>
            <w:tcMar>
              <w:top w:w="100" w:type="dxa"/>
              <w:bottom w:w="100" w:type="dxa"/>
              <w:left w:w="140" w:type="dxa"/>
              <w:right w:w="140" w:type="dxa"/>
            </w:tcMar>
          </w:tcPr>
          <w:p>
            <w:pPr>
              <w:jc w:val="left"/>
            </w:pPr>
            <w:r>
              <w:rPr>
                <w:rFonts w:ascii="Calibri" w:hAnsi="Calibri"/>
                <w:color w:val="2D3748"/>
                <w:sz w:val="19"/>
              </w:rPr>
              <w:t>(£1,497,600)</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Gross Profit (£)</w:t>
            </w:r>
          </w:p>
        </w:tc>
        <w:tc>
          <w:tcPr>
            <w:tcW w:type="dxa" w:w="2016"/>
            <w:shd w:fill="FFFFFF"/>
            <w:tcMar>
              <w:top w:w="100" w:type="dxa"/>
              <w:bottom w:w="100" w:type="dxa"/>
              <w:left w:w="140" w:type="dxa"/>
              <w:right w:w="140" w:type="dxa"/>
            </w:tcMar>
          </w:tcPr>
          <w:p>
            <w:pPr>
              <w:jc w:val="left"/>
            </w:pPr>
            <w:r>
              <w:rPr>
                <w:rFonts w:ascii="Calibri" w:hAnsi="Calibri"/>
                <w:color w:val="2D3748"/>
                <w:sz w:val="19"/>
              </w:rPr>
              <w:t>£456,960 (68%)</w:t>
            </w:r>
          </w:p>
        </w:tc>
        <w:tc>
          <w:tcPr>
            <w:tcW w:type="dxa" w:w="2016"/>
            <w:shd w:fill="FFFFFF"/>
            <w:tcMar>
              <w:top w:w="100" w:type="dxa"/>
              <w:bottom w:w="100" w:type="dxa"/>
              <w:left w:w="140" w:type="dxa"/>
              <w:right w:w="140" w:type="dxa"/>
            </w:tcMar>
          </w:tcPr>
          <w:p>
            <w:pPr>
              <w:jc w:val="left"/>
            </w:pPr>
            <w:r>
              <w:rPr>
                <w:rFonts w:ascii="Calibri" w:hAnsi="Calibri"/>
                <w:color w:val="2D3748"/>
                <w:sz w:val="19"/>
              </w:rPr>
              <w:t>£1,378,275 (69%)</w:t>
            </w:r>
          </w:p>
        </w:tc>
        <w:tc>
          <w:tcPr>
            <w:tcW w:type="dxa" w:w="2160"/>
            <w:shd w:fill="FFFFFF"/>
            <w:tcMar>
              <w:top w:w="100" w:type="dxa"/>
              <w:bottom w:w="100" w:type="dxa"/>
              <w:left w:w="140" w:type="dxa"/>
              <w:right w:w="140" w:type="dxa"/>
            </w:tcMar>
          </w:tcPr>
          <w:p>
            <w:pPr>
              <w:jc w:val="left"/>
            </w:pPr>
            <w:r>
              <w:rPr>
                <w:rFonts w:ascii="Calibri" w:hAnsi="Calibri"/>
                <w:color w:val="2D3748"/>
                <w:sz w:val="19"/>
              </w:rPr>
              <w:t>£3,494,400 (70%)</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IT Infrastructure &amp; Hosting</w:t>
            </w:r>
          </w:p>
        </w:tc>
        <w:tc>
          <w:tcPr>
            <w:tcW w:type="dxa" w:w="2016"/>
            <w:shd w:fill="F8FAFC"/>
            <w:tcMar>
              <w:top w:w="100" w:type="dxa"/>
              <w:bottom w:w="100" w:type="dxa"/>
              <w:left w:w="140" w:type="dxa"/>
              <w:right w:w="140" w:type="dxa"/>
            </w:tcMar>
          </w:tcPr>
          <w:p>
            <w:pPr>
              <w:jc w:val="left"/>
            </w:pPr>
            <w:r>
              <w:rPr>
                <w:rFonts w:ascii="Calibri" w:hAnsi="Calibri"/>
                <w:color w:val="2D3748"/>
                <w:sz w:val="19"/>
              </w:rPr>
              <w:t>(£12,000)</w:t>
            </w:r>
          </w:p>
        </w:tc>
        <w:tc>
          <w:tcPr>
            <w:tcW w:type="dxa" w:w="2016"/>
            <w:shd w:fill="F8FAFC"/>
            <w:tcMar>
              <w:top w:w="100" w:type="dxa"/>
              <w:bottom w:w="100" w:type="dxa"/>
              <w:left w:w="140" w:type="dxa"/>
              <w:right w:w="140" w:type="dxa"/>
            </w:tcMar>
          </w:tcPr>
          <w:p>
            <w:pPr>
              <w:jc w:val="left"/>
            </w:pPr>
            <w:r>
              <w:rPr>
                <w:rFonts w:ascii="Calibri" w:hAnsi="Calibri"/>
                <w:color w:val="2D3748"/>
                <w:sz w:val="19"/>
              </w:rPr>
              <w:t>(£28,000)</w:t>
            </w:r>
          </w:p>
        </w:tc>
        <w:tc>
          <w:tcPr>
            <w:tcW w:type="dxa" w:w="2160"/>
            <w:shd w:fill="F8FAFC"/>
            <w:tcMar>
              <w:top w:w="100" w:type="dxa"/>
              <w:bottom w:w="100" w:type="dxa"/>
              <w:left w:w="140" w:type="dxa"/>
              <w:right w:w="140" w:type="dxa"/>
            </w:tcMar>
          </w:tcPr>
          <w:p>
            <w:pPr>
              <w:jc w:val="left"/>
            </w:pPr>
            <w:r>
              <w:rPr>
                <w:rFonts w:ascii="Calibri" w:hAnsi="Calibri"/>
                <w:color w:val="2D3748"/>
                <w:sz w:val="19"/>
              </w:rPr>
              <w:t>(£54,000)</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Logistics &amp; Courier Packaging</w:t>
            </w:r>
          </w:p>
        </w:tc>
        <w:tc>
          <w:tcPr>
            <w:tcW w:type="dxa" w:w="2016"/>
            <w:shd w:fill="FFFFFF"/>
            <w:tcMar>
              <w:top w:w="100" w:type="dxa"/>
              <w:bottom w:w="100" w:type="dxa"/>
              <w:left w:w="140" w:type="dxa"/>
              <w:right w:w="140" w:type="dxa"/>
            </w:tcMar>
          </w:tcPr>
          <w:p>
            <w:pPr>
              <w:jc w:val="left"/>
            </w:pPr>
            <w:r>
              <w:rPr>
                <w:rFonts w:ascii="Calibri" w:hAnsi="Calibri"/>
                <w:color w:val="2D3748"/>
                <w:sz w:val="19"/>
              </w:rPr>
              <w:t>(£48,000)</w:t>
            </w:r>
          </w:p>
        </w:tc>
        <w:tc>
          <w:tcPr>
            <w:tcW w:type="dxa" w:w="2016"/>
            <w:shd w:fill="FFFFFF"/>
            <w:tcMar>
              <w:top w:w="100" w:type="dxa"/>
              <w:bottom w:w="100" w:type="dxa"/>
              <w:left w:w="140" w:type="dxa"/>
              <w:right w:w="140" w:type="dxa"/>
            </w:tcMar>
          </w:tcPr>
          <w:p>
            <w:pPr>
              <w:jc w:val="left"/>
            </w:pPr>
            <w:r>
              <w:rPr>
                <w:rFonts w:ascii="Calibri" w:hAnsi="Calibri"/>
                <w:color w:val="2D3748"/>
                <w:sz w:val="19"/>
              </w:rPr>
              <w:t>(£136,000)</w:t>
            </w:r>
          </w:p>
        </w:tc>
        <w:tc>
          <w:tcPr>
            <w:tcW w:type="dxa" w:w="2160"/>
            <w:shd w:fill="FFFFFF"/>
            <w:tcMar>
              <w:top w:w="100" w:type="dxa"/>
              <w:bottom w:w="100" w:type="dxa"/>
              <w:left w:w="140" w:type="dxa"/>
              <w:right w:w="140" w:type="dxa"/>
            </w:tcMar>
          </w:tcPr>
          <w:p>
            <w:pPr>
              <w:jc w:val="left"/>
            </w:pPr>
            <w:r>
              <w:rPr>
                <w:rFonts w:ascii="Calibri" w:hAnsi="Calibri"/>
                <w:color w:val="2D3748"/>
                <w:sz w:val="19"/>
              </w:rPr>
              <w:t>(£307,000)</w:t>
            </w:r>
          </w:p>
        </w:tc>
      </w:tr>
      <w:tr>
        <w:tc>
          <w:tcPr>
            <w:tcW w:type="dxa" w:w="3168"/>
            <w:shd w:fill="F8FAFC"/>
            <w:tcMar>
              <w:top w:w="100" w:type="dxa"/>
              <w:bottom w:w="100" w:type="dxa"/>
              <w:left w:w="140" w:type="dxa"/>
              <w:right w:w="140" w:type="dxa"/>
            </w:tcMar>
          </w:tcPr>
          <w:p>
            <w:pPr>
              <w:jc w:val="left"/>
            </w:pPr>
            <w:r>
              <w:rPr>
                <w:rFonts w:ascii="Calibri" w:hAnsi="Calibri"/>
                <w:color w:val="2D3748"/>
                <w:sz w:val="19"/>
              </w:rPr>
              <w:t>Marketing &amp; Customer Acquisition</w:t>
            </w:r>
          </w:p>
        </w:tc>
        <w:tc>
          <w:tcPr>
            <w:tcW w:type="dxa" w:w="2016"/>
            <w:shd w:fill="F8FAFC"/>
            <w:tcMar>
              <w:top w:w="100" w:type="dxa"/>
              <w:bottom w:w="100" w:type="dxa"/>
              <w:left w:w="140" w:type="dxa"/>
              <w:right w:w="140" w:type="dxa"/>
            </w:tcMar>
          </w:tcPr>
          <w:p>
            <w:pPr>
              <w:jc w:val="left"/>
            </w:pPr>
            <w:r>
              <w:rPr>
                <w:rFonts w:ascii="Calibri" w:hAnsi="Calibri"/>
                <w:color w:val="2D3748"/>
                <w:sz w:val="19"/>
              </w:rPr>
              <w:t>(£180,000)</w:t>
            </w:r>
          </w:p>
        </w:tc>
        <w:tc>
          <w:tcPr>
            <w:tcW w:type="dxa" w:w="2016"/>
            <w:shd w:fill="F8FAFC"/>
            <w:tcMar>
              <w:top w:w="100" w:type="dxa"/>
              <w:bottom w:w="100" w:type="dxa"/>
              <w:left w:w="140" w:type="dxa"/>
              <w:right w:w="140" w:type="dxa"/>
            </w:tcMar>
          </w:tcPr>
          <w:p>
            <w:pPr>
              <w:jc w:val="left"/>
            </w:pPr>
            <w:r>
              <w:rPr>
                <w:rFonts w:ascii="Calibri" w:hAnsi="Calibri"/>
                <w:color w:val="2D3748"/>
                <w:sz w:val="19"/>
              </w:rPr>
              <w:t>(£420,000)</w:t>
            </w:r>
          </w:p>
        </w:tc>
        <w:tc>
          <w:tcPr>
            <w:tcW w:type="dxa" w:w="2160"/>
            <w:shd w:fill="F8FAFC"/>
            <w:tcMar>
              <w:top w:w="100" w:type="dxa"/>
              <w:bottom w:w="100" w:type="dxa"/>
              <w:left w:w="140" w:type="dxa"/>
              <w:right w:w="140" w:type="dxa"/>
            </w:tcMar>
          </w:tcPr>
          <w:p>
            <w:pPr>
              <w:jc w:val="left"/>
            </w:pPr>
            <w:r>
              <w:rPr>
                <w:rFonts w:ascii="Calibri" w:hAnsi="Calibri"/>
                <w:color w:val="2D3748"/>
                <w:sz w:val="19"/>
              </w:rPr>
              <w:t>(£950,000)</w:t>
            </w:r>
          </w:p>
        </w:tc>
      </w:tr>
      <w:tr>
        <w:tc>
          <w:tcPr>
            <w:tcW w:type="dxa" w:w="3168"/>
            <w:shd w:fill="FFFFFF"/>
            <w:tcMar>
              <w:top w:w="100" w:type="dxa"/>
              <w:bottom w:w="100" w:type="dxa"/>
              <w:left w:w="140" w:type="dxa"/>
              <w:right w:w="140" w:type="dxa"/>
            </w:tcMar>
          </w:tcPr>
          <w:p>
            <w:pPr>
              <w:jc w:val="left"/>
            </w:pPr>
            <w:r>
              <w:rPr>
                <w:rFonts w:ascii="Calibri" w:hAnsi="Calibri"/>
                <w:color w:val="2D3748"/>
                <w:sz w:val="19"/>
              </w:rPr>
              <w:t>Net Operating Profit (EBITDA)</w:t>
            </w:r>
          </w:p>
        </w:tc>
        <w:tc>
          <w:tcPr>
            <w:tcW w:type="dxa" w:w="2016"/>
            <w:shd w:fill="FFFFFF"/>
            <w:tcMar>
              <w:top w:w="100" w:type="dxa"/>
              <w:bottom w:w="100" w:type="dxa"/>
              <w:left w:w="140" w:type="dxa"/>
              <w:right w:w="140" w:type="dxa"/>
            </w:tcMar>
          </w:tcPr>
          <w:p>
            <w:pPr>
              <w:jc w:val="left"/>
            </w:pPr>
            <w:r>
              <w:rPr>
                <w:rFonts w:ascii="Calibri" w:hAnsi="Calibri"/>
                <w:color w:val="2D3748"/>
                <w:sz w:val="19"/>
              </w:rPr>
              <w:t>£216,960 (32.3%)</w:t>
            </w:r>
          </w:p>
        </w:tc>
        <w:tc>
          <w:tcPr>
            <w:tcW w:type="dxa" w:w="2016"/>
            <w:shd w:fill="FFFFFF"/>
            <w:tcMar>
              <w:top w:w="100" w:type="dxa"/>
              <w:bottom w:w="100" w:type="dxa"/>
              <w:left w:w="140" w:type="dxa"/>
              <w:right w:w="140" w:type="dxa"/>
            </w:tcMar>
          </w:tcPr>
          <w:p>
            <w:pPr>
              <w:jc w:val="left"/>
            </w:pPr>
            <w:r>
              <w:rPr>
                <w:rFonts w:ascii="Calibri" w:hAnsi="Calibri"/>
                <w:color w:val="2D3748"/>
                <w:sz w:val="19"/>
              </w:rPr>
              <w:t>£794,275 (39.8%)</w:t>
            </w:r>
          </w:p>
        </w:tc>
        <w:tc>
          <w:tcPr>
            <w:tcW w:type="dxa" w:w="2160"/>
            <w:shd w:fill="FFFFFF"/>
            <w:tcMar>
              <w:top w:w="100" w:type="dxa"/>
              <w:bottom w:w="100" w:type="dxa"/>
              <w:left w:w="140" w:type="dxa"/>
              <w:right w:w="140" w:type="dxa"/>
            </w:tcMar>
          </w:tcPr>
          <w:p>
            <w:pPr>
              <w:jc w:val="left"/>
            </w:pPr>
            <w:r>
              <w:rPr>
                <w:rFonts w:ascii="Calibri" w:hAnsi="Calibri"/>
                <w:color w:val="2D3748"/>
                <w:sz w:val="19"/>
              </w:rPr>
              <w:t>£2,183,400 (43.7%)</w:t>
            </w:r>
          </w:p>
        </w:tc>
      </w:tr>
    </w:tbl>
    <w:p>
      <w:pPr>
        <w:spacing w:after="120"/>
      </w:pPr>
    </w:p>
    <w:p>
      <w:r>
        <w:br w:type="page"/>
      </w:r>
    </w:p>
    <w:p>
      <w:pPr>
        <w:keepNext/>
        <w:spacing w:before="440" w:after="160"/>
      </w:pPr>
      <w:r>
        <w:rPr>
          <w:rFonts w:ascii="Arial" w:hAnsi="Arial"/>
          <w:b/>
          <w:color w:val="0F294A"/>
          <w:sz w:val="32"/>
        </w:rPr>
        <w:t>6. Risk Assessment, Cybersecurity &amp; Scalability Roadmap</w:t>
      </w:r>
    </w:p>
    <w:p>
      <w:pPr>
        <w:keepNext/>
        <w:spacing w:before="280" w:after="120"/>
      </w:pPr>
      <w:r>
        <w:rPr>
          <w:rFonts w:ascii="Arial" w:hAnsi="Arial"/>
          <w:b/>
          <w:color w:val="9A7B38"/>
          <w:sz w:val="25"/>
        </w:rPr>
        <w:t>6.1 Risk Matrix &amp; Mitigation Strategy</w:t>
      </w:r>
    </w:p>
    <w:p>
      <w:pPr>
        <w:spacing w:after="120" w:line="283" w:lineRule="auto"/>
      </w:pPr>
      <w:r>
        <w:rPr>
          <w:rFonts w:ascii="Calibri" w:hAnsi="Calibri"/>
          <w:color w:val="2D3748"/>
          <w:sz w:val="21"/>
        </w:rPr>
        <w:t>Operating an enterprise digital commerce business entails technical, operational, and regulatory risks. The following risk management matrix outlines proactive safeguards:</w:t>
      </w:r>
    </w:p>
    <w:tbl>
      <w:tblPr>
        <w:tblW w:type="auto" w:w="0"/>
        <w:jc w:val="center"/>
        <w:tblLook w:firstColumn="1" w:firstRow="1" w:lastColumn="0" w:lastRow="0" w:noHBand="0" w:noVBand="1" w:val="04A0"/>
      </w:tblPr>
      <w:tblGrid>
        <w:gridCol w:w="2340"/>
        <w:gridCol w:w="2340"/>
        <w:gridCol w:w="2340"/>
        <w:gridCol w:w="2340"/>
      </w:tblGrid>
      <w:tr>
        <w:tc>
          <w:tcPr>
            <w:tcW w:type="dxa" w:w="2592"/>
            <w:shd w:fill="0F294A"/>
            <w:tcMar>
              <w:top w:w="120" w:type="dxa"/>
              <w:bottom w:w="120" w:type="dxa"/>
              <w:left w:w="140" w:type="dxa"/>
              <w:right w:w="140" w:type="dxa"/>
            </w:tcMar>
          </w:tcPr>
          <w:p>
            <w:pPr>
              <w:jc w:val="left"/>
            </w:pPr>
            <w:r>
              <w:rPr>
                <w:rFonts w:ascii="Arial" w:hAnsi="Arial"/>
                <w:b/>
                <w:color w:val="FFFFFF"/>
                <w:sz w:val="19"/>
              </w:rPr>
              <w:t>Identified Risk Event</w:t>
            </w:r>
          </w:p>
        </w:tc>
        <w:tc>
          <w:tcPr>
            <w:tcW w:type="dxa" w:w="1152"/>
            <w:shd w:fill="0F294A"/>
            <w:tcMar>
              <w:top w:w="120" w:type="dxa"/>
              <w:bottom w:w="120" w:type="dxa"/>
              <w:left w:w="140" w:type="dxa"/>
              <w:right w:w="140" w:type="dxa"/>
            </w:tcMar>
          </w:tcPr>
          <w:p>
            <w:pPr>
              <w:jc w:val="left"/>
            </w:pPr>
            <w:r>
              <w:rPr>
                <w:rFonts w:ascii="Arial" w:hAnsi="Arial"/>
                <w:b/>
                <w:color w:val="FFFFFF"/>
                <w:sz w:val="19"/>
              </w:rPr>
              <w:t>Impact</w:t>
            </w:r>
          </w:p>
        </w:tc>
        <w:tc>
          <w:tcPr>
            <w:tcW w:type="dxa" w:w="1296"/>
            <w:shd w:fill="0F294A"/>
            <w:tcMar>
              <w:top w:w="120" w:type="dxa"/>
              <w:bottom w:w="120" w:type="dxa"/>
              <w:left w:w="140" w:type="dxa"/>
              <w:right w:w="140" w:type="dxa"/>
            </w:tcMar>
          </w:tcPr>
          <w:p>
            <w:pPr>
              <w:jc w:val="left"/>
            </w:pPr>
            <w:r>
              <w:rPr>
                <w:rFonts w:ascii="Arial" w:hAnsi="Arial"/>
                <w:b/>
                <w:color w:val="FFFFFF"/>
                <w:sz w:val="19"/>
              </w:rPr>
              <w:t>Likelihood</w:t>
            </w:r>
          </w:p>
        </w:tc>
        <w:tc>
          <w:tcPr>
            <w:tcW w:type="dxa" w:w="4320"/>
            <w:shd w:fill="0F294A"/>
            <w:tcMar>
              <w:top w:w="120" w:type="dxa"/>
              <w:bottom w:w="120" w:type="dxa"/>
              <w:left w:w="140" w:type="dxa"/>
              <w:right w:w="140" w:type="dxa"/>
            </w:tcMar>
          </w:tcPr>
          <w:p>
            <w:pPr>
              <w:jc w:val="left"/>
            </w:pPr>
            <w:r>
              <w:rPr>
                <w:rFonts w:ascii="Arial" w:hAnsi="Arial"/>
                <w:b/>
                <w:color w:val="FFFFFF"/>
                <w:sz w:val="19"/>
              </w:rPr>
              <w:t>Engineered Mitigation Control</w:t>
            </w:r>
          </w:p>
        </w:tc>
      </w:tr>
      <w:tr>
        <w:tc>
          <w:tcPr>
            <w:tcW w:type="dxa" w:w="2592"/>
            <w:shd w:fill="FFFFFF"/>
            <w:tcMar>
              <w:top w:w="100" w:type="dxa"/>
              <w:bottom w:w="100" w:type="dxa"/>
              <w:left w:w="140" w:type="dxa"/>
              <w:right w:w="140" w:type="dxa"/>
            </w:tcMar>
          </w:tcPr>
          <w:p>
            <w:pPr>
              <w:jc w:val="left"/>
            </w:pPr>
            <w:r>
              <w:rPr>
                <w:rFonts w:ascii="Calibri" w:hAnsi="Calibri"/>
                <w:color w:val="2D3748"/>
                <w:sz w:val="19"/>
              </w:rPr>
              <w:t>Server Outage / Traffic Spike</w:t>
            </w:r>
          </w:p>
        </w:tc>
        <w:tc>
          <w:tcPr>
            <w:tcW w:type="dxa" w:w="1152"/>
            <w:shd w:fill="FFFFFF"/>
            <w:tcMar>
              <w:top w:w="100" w:type="dxa"/>
              <w:bottom w:w="100" w:type="dxa"/>
              <w:left w:w="140" w:type="dxa"/>
              <w:right w:w="140" w:type="dxa"/>
            </w:tcMar>
          </w:tcPr>
          <w:p>
            <w:pPr>
              <w:jc w:val="left"/>
            </w:pPr>
            <w:r>
              <w:rPr>
                <w:rFonts w:ascii="Calibri" w:hAnsi="Calibri"/>
                <w:color w:val="2D3748"/>
                <w:sz w:val="19"/>
              </w:rPr>
              <w:t>High</w:t>
            </w:r>
          </w:p>
        </w:tc>
        <w:tc>
          <w:tcPr>
            <w:tcW w:type="dxa" w:w="1296"/>
            <w:shd w:fill="FFFFFF"/>
            <w:tcMar>
              <w:top w:w="100" w:type="dxa"/>
              <w:bottom w:w="100" w:type="dxa"/>
              <w:left w:w="140" w:type="dxa"/>
              <w:right w:w="140" w:type="dxa"/>
            </w:tcMar>
          </w:tcPr>
          <w:p>
            <w:pPr>
              <w:jc w:val="left"/>
            </w:pPr>
            <w:r>
              <w:rPr>
                <w:rFonts w:ascii="Calibri" w:hAnsi="Calibri"/>
                <w:color w:val="2D3748"/>
                <w:sz w:val="19"/>
              </w:rPr>
              <w:t>High</w:t>
            </w:r>
          </w:p>
        </w:tc>
        <w:tc>
          <w:tcPr>
            <w:tcW w:type="dxa" w:w="4320"/>
            <w:shd w:fill="FFFFFF"/>
            <w:tcMar>
              <w:top w:w="100" w:type="dxa"/>
              <w:bottom w:w="100" w:type="dxa"/>
              <w:left w:w="140" w:type="dxa"/>
              <w:right w:w="140" w:type="dxa"/>
            </w:tcMar>
          </w:tcPr>
          <w:p>
            <w:pPr>
              <w:jc w:val="left"/>
            </w:pPr>
            <w:r>
              <w:rPr>
                <w:rFonts w:ascii="Calibri" w:hAnsi="Calibri"/>
                <w:color w:val="2D3748"/>
                <w:sz w:val="19"/>
              </w:rPr>
              <w:t>Implement horizontal load balancing across containerized cloud instances; leverage Cloudflare CDN caching.</w:t>
            </w:r>
          </w:p>
        </w:tc>
      </w:tr>
      <w:tr>
        <w:tc>
          <w:tcPr>
            <w:tcW w:type="dxa" w:w="2592"/>
            <w:shd w:fill="F8FAFC"/>
            <w:tcMar>
              <w:top w:w="100" w:type="dxa"/>
              <w:bottom w:w="100" w:type="dxa"/>
              <w:left w:w="140" w:type="dxa"/>
              <w:right w:w="140" w:type="dxa"/>
            </w:tcMar>
          </w:tcPr>
          <w:p>
            <w:pPr>
              <w:jc w:val="left"/>
            </w:pPr>
            <w:r>
              <w:rPr>
                <w:rFonts w:ascii="Calibri" w:hAnsi="Calibri"/>
                <w:color w:val="2D3748"/>
                <w:sz w:val="19"/>
              </w:rPr>
              <w:t>SQL Injection &amp; Data Breach</w:t>
            </w:r>
          </w:p>
        </w:tc>
        <w:tc>
          <w:tcPr>
            <w:tcW w:type="dxa" w:w="1152"/>
            <w:shd w:fill="F8FAFC"/>
            <w:tcMar>
              <w:top w:w="100" w:type="dxa"/>
              <w:bottom w:w="100" w:type="dxa"/>
              <w:left w:w="140" w:type="dxa"/>
              <w:right w:w="140" w:type="dxa"/>
            </w:tcMar>
          </w:tcPr>
          <w:p>
            <w:pPr>
              <w:jc w:val="left"/>
            </w:pPr>
            <w:r>
              <w:rPr>
                <w:rFonts w:ascii="Calibri" w:hAnsi="Calibri"/>
                <w:color w:val="2D3748"/>
                <w:sz w:val="19"/>
              </w:rPr>
              <w:t>Critical</w:t>
            </w:r>
          </w:p>
        </w:tc>
        <w:tc>
          <w:tcPr>
            <w:tcW w:type="dxa" w:w="1296"/>
            <w:shd w:fill="F8FAFC"/>
            <w:tcMar>
              <w:top w:w="100" w:type="dxa"/>
              <w:bottom w:w="100" w:type="dxa"/>
              <w:left w:w="140" w:type="dxa"/>
              <w:right w:w="140" w:type="dxa"/>
            </w:tcMar>
          </w:tcPr>
          <w:p>
            <w:pPr>
              <w:jc w:val="left"/>
            </w:pPr>
            <w:r>
              <w:rPr>
                <w:rFonts w:ascii="Calibri" w:hAnsi="Calibri"/>
                <w:color w:val="2D3748"/>
                <w:sz w:val="19"/>
              </w:rPr>
              <w:t>Low</w:t>
            </w:r>
          </w:p>
        </w:tc>
        <w:tc>
          <w:tcPr>
            <w:tcW w:type="dxa" w:w="4320"/>
            <w:shd w:fill="F8FAFC"/>
            <w:tcMar>
              <w:top w:w="100" w:type="dxa"/>
              <w:bottom w:w="100" w:type="dxa"/>
              <w:left w:w="140" w:type="dxa"/>
              <w:right w:w="140" w:type="dxa"/>
            </w:tcMar>
          </w:tcPr>
          <w:p>
            <w:pPr>
              <w:jc w:val="left"/>
            </w:pPr>
            <w:r>
              <w:rPr>
                <w:rFonts w:ascii="Calibri" w:hAnsi="Calibri"/>
                <w:color w:val="2D3748"/>
                <w:sz w:val="19"/>
              </w:rPr>
              <w:t>Enforce 100% prepared PDO statements; implement automated static code analysis in CI/CD pipeline.</w:t>
            </w:r>
          </w:p>
        </w:tc>
      </w:tr>
      <w:tr>
        <w:tc>
          <w:tcPr>
            <w:tcW w:type="dxa" w:w="2592"/>
            <w:shd w:fill="FFFFFF"/>
            <w:tcMar>
              <w:top w:w="100" w:type="dxa"/>
              <w:bottom w:w="100" w:type="dxa"/>
              <w:left w:w="140" w:type="dxa"/>
              <w:right w:w="140" w:type="dxa"/>
            </w:tcMar>
          </w:tcPr>
          <w:p>
            <w:pPr>
              <w:jc w:val="left"/>
            </w:pPr>
            <w:r>
              <w:rPr>
                <w:rFonts w:ascii="Calibri" w:hAnsi="Calibri"/>
                <w:color w:val="2D3748"/>
                <w:sz w:val="19"/>
              </w:rPr>
              <w:t>Inventory Stockout</w:t>
            </w:r>
          </w:p>
        </w:tc>
        <w:tc>
          <w:tcPr>
            <w:tcW w:type="dxa" w:w="1152"/>
            <w:shd w:fill="FFFFFF"/>
            <w:tcMar>
              <w:top w:w="100" w:type="dxa"/>
              <w:bottom w:w="100" w:type="dxa"/>
              <w:left w:w="140" w:type="dxa"/>
              <w:right w:w="140" w:type="dxa"/>
            </w:tcMar>
          </w:tcPr>
          <w:p>
            <w:pPr>
              <w:jc w:val="left"/>
            </w:pPr>
            <w:r>
              <w:rPr>
                <w:rFonts w:ascii="Calibri" w:hAnsi="Calibri"/>
                <w:color w:val="2D3748"/>
                <w:sz w:val="19"/>
              </w:rPr>
              <w:t>Medium</w:t>
            </w:r>
          </w:p>
        </w:tc>
        <w:tc>
          <w:tcPr>
            <w:tcW w:type="dxa" w:w="1296"/>
            <w:shd w:fill="FFFFFF"/>
            <w:tcMar>
              <w:top w:w="100" w:type="dxa"/>
              <w:bottom w:w="100" w:type="dxa"/>
              <w:left w:w="140" w:type="dxa"/>
              <w:right w:w="140" w:type="dxa"/>
            </w:tcMar>
          </w:tcPr>
          <w:p>
            <w:pPr>
              <w:jc w:val="left"/>
            </w:pPr>
            <w:r>
              <w:rPr>
                <w:rFonts w:ascii="Calibri" w:hAnsi="Calibri"/>
                <w:color w:val="2D3748"/>
                <w:sz w:val="19"/>
              </w:rPr>
              <w:t>Medium</w:t>
            </w:r>
          </w:p>
        </w:tc>
        <w:tc>
          <w:tcPr>
            <w:tcW w:type="dxa" w:w="4320"/>
            <w:shd w:fill="FFFFFF"/>
            <w:tcMar>
              <w:top w:w="100" w:type="dxa"/>
              <w:bottom w:w="100" w:type="dxa"/>
              <w:left w:w="140" w:type="dxa"/>
              <w:right w:w="140" w:type="dxa"/>
            </w:tcMar>
          </w:tcPr>
          <w:p>
            <w:pPr>
              <w:jc w:val="left"/>
            </w:pPr>
            <w:r>
              <w:rPr>
                <w:rFonts w:ascii="Calibri" w:hAnsi="Calibri"/>
                <w:color w:val="2D3748"/>
                <w:sz w:val="19"/>
              </w:rPr>
              <w:t>Automated low-stock threshold triggers in admin dashboard; automated supplier purchase order generation.</w:t>
            </w:r>
          </w:p>
        </w:tc>
      </w:tr>
      <w:tr>
        <w:tc>
          <w:tcPr>
            <w:tcW w:type="dxa" w:w="2592"/>
            <w:shd w:fill="F8FAFC"/>
            <w:tcMar>
              <w:top w:w="100" w:type="dxa"/>
              <w:bottom w:w="100" w:type="dxa"/>
              <w:left w:w="140" w:type="dxa"/>
              <w:right w:w="140" w:type="dxa"/>
            </w:tcMar>
          </w:tcPr>
          <w:p>
            <w:pPr>
              <w:jc w:val="left"/>
            </w:pPr>
            <w:r>
              <w:rPr>
                <w:rFonts w:ascii="Calibri" w:hAnsi="Calibri"/>
                <w:color w:val="2D3748"/>
                <w:sz w:val="19"/>
              </w:rPr>
              <w:t>Payment Fraud &amp; Chargebacks</w:t>
            </w:r>
          </w:p>
        </w:tc>
        <w:tc>
          <w:tcPr>
            <w:tcW w:type="dxa" w:w="1152"/>
            <w:shd w:fill="F8FAFC"/>
            <w:tcMar>
              <w:top w:w="100" w:type="dxa"/>
              <w:bottom w:w="100" w:type="dxa"/>
              <w:left w:w="140" w:type="dxa"/>
              <w:right w:w="140" w:type="dxa"/>
            </w:tcMar>
          </w:tcPr>
          <w:p>
            <w:pPr>
              <w:jc w:val="left"/>
            </w:pPr>
            <w:r>
              <w:rPr>
                <w:rFonts w:ascii="Calibri" w:hAnsi="Calibri"/>
                <w:color w:val="2D3748"/>
                <w:sz w:val="19"/>
              </w:rPr>
              <w:t>High</w:t>
            </w:r>
          </w:p>
        </w:tc>
        <w:tc>
          <w:tcPr>
            <w:tcW w:type="dxa" w:w="1296"/>
            <w:shd w:fill="F8FAFC"/>
            <w:tcMar>
              <w:top w:w="100" w:type="dxa"/>
              <w:bottom w:w="100" w:type="dxa"/>
              <w:left w:w="140" w:type="dxa"/>
              <w:right w:w="140" w:type="dxa"/>
            </w:tcMar>
          </w:tcPr>
          <w:p>
            <w:pPr>
              <w:jc w:val="left"/>
            </w:pPr>
            <w:r>
              <w:rPr>
                <w:rFonts w:ascii="Calibri" w:hAnsi="Calibri"/>
                <w:color w:val="2D3748"/>
                <w:sz w:val="19"/>
              </w:rPr>
              <w:t>Low</w:t>
            </w:r>
          </w:p>
        </w:tc>
        <w:tc>
          <w:tcPr>
            <w:tcW w:type="dxa" w:w="4320"/>
            <w:shd w:fill="F8FAFC"/>
            <w:tcMar>
              <w:top w:w="100" w:type="dxa"/>
              <w:bottom w:w="100" w:type="dxa"/>
              <w:left w:w="140" w:type="dxa"/>
              <w:right w:w="140" w:type="dxa"/>
            </w:tcMar>
          </w:tcPr>
          <w:p>
            <w:pPr>
              <w:jc w:val="left"/>
            </w:pPr>
            <w:r>
              <w:rPr>
                <w:rFonts w:ascii="Calibri" w:hAnsi="Calibri"/>
                <w:color w:val="2D3748"/>
                <w:sz w:val="19"/>
              </w:rPr>
              <w:t>Tokenized payment gateways with 3D-Secure 2.0 authentication; algorithmic velocity fraud checking.</w:t>
            </w:r>
          </w:p>
        </w:tc>
      </w:tr>
      <w:tr>
        <w:tc>
          <w:tcPr>
            <w:tcW w:type="dxa" w:w="2592"/>
            <w:shd w:fill="FFFFFF"/>
            <w:tcMar>
              <w:top w:w="100" w:type="dxa"/>
              <w:bottom w:w="100" w:type="dxa"/>
              <w:left w:w="140" w:type="dxa"/>
              <w:right w:w="140" w:type="dxa"/>
            </w:tcMar>
          </w:tcPr>
          <w:p>
            <w:pPr>
              <w:jc w:val="left"/>
            </w:pPr>
            <w:r>
              <w:rPr>
                <w:rFonts w:ascii="Calibri" w:hAnsi="Calibri"/>
                <w:color w:val="2D3748"/>
                <w:sz w:val="19"/>
              </w:rPr>
              <w:t>GDPR / Regulatory Non-Compliance</w:t>
            </w:r>
          </w:p>
        </w:tc>
        <w:tc>
          <w:tcPr>
            <w:tcW w:type="dxa" w:w="1152"/>
            <w:shd w:fill="FFFFFF"/>
            <w:tcMar>
              <w:top w:w="100" w:type="dxa"/>
              <w:bottom w:w="100" w:type="dxa"/>
              <w:left w:w="140" w:type="dxa"/>
              <w:right w:w="140" w:type="dxa"/>
            </w:tcMar>
          </w:tcPr>
          <w:p>
            <w:pPr>
              <w:jc w:val="left"/>
            </w:pPr>
            <w:r>
              <w:rPr>
                <w:rFonts w:ascii="Calibri" w:hAnsi="Calibri"/>
                <w:color w:val="2D3748"/>
                <w:sz w:val="19"/>
              </w:rPr>
              <w:t>High</w:t>
            </w:r>
          </w:p>
        </w:tc>
        <w:tc>
          <w:tcPr>
            <w:tcW w:type="dxa" w:w="1296"/>
            <w:shd w:fill="FFFFFF"/>
            <w:tcMar>
              <w:top w:w="100" w:type="dxa"/>
              <w:bottom w:w="100" w:type="dxa"/>
              <w:left w:w="140" w:type="dxa"/>
              <w:right w:w="140" w:type="dxa"/>
            </w:tcMar>
          </w:tcPr>
          <w:p>
            <w:pPr>
              <w:jc w:val="left"/>
            </w:pPr>
            <w:r>
              <w:rPr>
                <w:rFonts w:ascii="Calibri" w:hAnsi="Calibri"/>
                <w:color w:val="2D3748"/>
                <w:sz w:val="19"/>
              </w:rPr>
              <w:t>Low</w:t>
            </w:r>
          </w:p>
        </w:tc>
        <w:tc>
          <w:tcPr>
            <w:tcW w:type="dxa" w:w="4320"/>
            <w:shd w:fill="FFFFFF"/>
            <w:tcMar>
              <w:top w:w="100" w:type="dxa"/>
              <w:bottom w:w="100" w:type="dxa"/>
              <w:left w:w="140" w:type="dxa"/>
              <w:right w:w="140" w:type="dxa"/>
            </w:tcMar>
          </w:tcPr>
          <w:p>
            <w:pPr>
              <w:jc w:val="left"/>
            </w:pPr>
            <w:r>
              <w:rPr>
                <w:rFonts w:ascii="Calibri" w:hAnsi="Calibri"/>
                <w:color w:val="2D3748"/>
                <w:sz w:val="19"/>
              </w:rPr>
              <w:t>Explicit customer cookie consent banners, encrypted patron data storage, and one-click data erasure tools.</w:t>
            </w:r>
          </w:p>
        </w:tc>
      </w:tr>
    </w:tbl>
    <w:p>
      <w:pPr>
        <w:spacing w:after="120"/>
      </w:pPr>
    </w:p>
    <w:p>
      <w:pPr>
        <w:keepNext/>
        <w:spacing w:before="280" w:after="120"/>
      </w:pPr>
      <w:r>
        <w:rPr>
          <w:rFonts w:ascii="Arial" w:hAnsi="Arial"/>
          <w:b/>
          <w:color w:val="9A7B38"/>
          <w:sz w:val="25"/>
        </w:rPr>
        <w:t>6.2 Scalability &amp; Cloud Evolution Roadmap</w:t>
      </w:r>
    </w:p>
    <w:p>
      <w:pPr>
        <w:spacing w:after="120" w:line="283" w:lineRule="auto"/>
      </w:pPr>
      <w:r>
        <w:rPr>
          <w:rFonts w:ascii="Calibri" w:hAnsi="Calibri"/>
          <w:color w:val="2D3748"/>
          <w:sz w:val="21"/>
        </w:rPr>
        <w:t>While the prototype currently operates with blazing efficiency on local Apache/PHP runtimes for examiner demonstration, the production roadmap entails a modular transition toward an elastic cloud architecture:</w:t>
      </w:r>
    </w:p>
    <w:p>
      <w:pPr>
        <w:pStyle w:val="ListBullet"/>
        <w:spacing w:after="60" w:line="276" w:lineRule="auto"/>
      </w:pPr>
      <w:r>
        <w:rPr>
          <w:rFonts w:ascii="Calibri" w:hAnsi="Calibri"/>
          <w:b/>
          <w:color w:val="0F294A"/>
          <w:sz w:val="21"/>
        </w:rPr>
        <w:t xml:space="preserve">Phase 1 (Containerization): </w:t>
      </w:r>
      <w:r>
        <w:rPr>
          <w:rFonts w:ascii="Calibri" w:hAnsi="Calibri"/>
          <w:color w:val="2D3748"/>
          <w:sz w:val="21"/>
        </w:rPr>
        <w:t>Containerization: Packaging the PHP runtime and database into lightweight Docker containers orchestrated via Kubernetes (EKS/GKE).</w:t>
      </w:r>
    </w:p>
    <w:p>
      <w:pPr>
        <w:pStyle w:val="ListBullet"/>
        <w:spacing w:after="60" w:line="276" w:lineRule="auto"/>
      </w:pPr>
      <w:r>
        <w:rPr>
          <w:rFonts w:ascii="Calibri" w:hAnsi="Calibri"/>
          <w:b/>
          <w:color w:val="0F294A"/>
          <w:sz w:val="21"/>
        </w:rPr>
        <w:t xml:space="preserve">Phase 2 (Edge Caching): </w:t>
      </w:r>
      <w:r>
        <w:rPr>
          <w:rFonts w:ascii="Calibri" w:hAnsi="Calibri"/>
          <w:color w:val="2D3748"/>
          <w:sz w:val="21"/>
        </w:rPr>
        <w:t>Content Delivery Network (CDN): Offloading high-resolution product photography and static assets to AWS CloudFront / Cloudflare Edge caches.</w:t>
      </w:r>
    </w:p>
    <w:p>
      <w:pPr>
        <w:pStyle w:val="ListBullet"/>
        <w:spacing w:after="60" w:line="276" w:lineRule="auto"/>
      </w:pPr>
      <w:r>
        <w:rPr>
          <w:rFonts w:ascii="Calibri" w:hAnsi="Calibri"/>
          <w:b/>
          <w:color w:val="0F294A"/>
          <w:sz w:val="21"/>
        </w:rPr>
        <w:t xml:space="preserve">Phase 3 (Redis Caching): </w:t>
      </w:r>
      <w:r>
        <w:rPr>
          <w:rFonts w:ascii="Calibri" w:hAnsi="Calibri"/>
          <w:color w:val="2D3748"/>
          <w:sz w:val="21"/>
        </w:rPr>
        <w:t>In-Memory Session Caching: Migrating active shopping cart sessions and voucher lookup tables to Redis for sub-millisecond retrieval.</w:t>
      </w:r>
    </w:p>
    <w:p>
      <w:pPr>
        <w:pStyle w:val="ListBullet"/>
        <w:spacing w:after="60" w:line="276" w:lineRule="auto"/>
      </w:pPr>
      <w:r>
        <w:rPr>
          <w:rFonts w:ascii="Calibri" w:hAnsi="Calibri"/>
          <w:b/>
          <w:color w:val="0F294A"/>
          <w:sz w:val="21"/>
        </w:rPr>
        <w:t xml:space="preserve">Phase 4 (Asynchronous Queues): </w:t>
      </w:r>
      <w:r>
        <w:rPr>
          <w:rFonts w:ascii="Calibri" w:hAnsi="Calibri"/>
          <w:color w:val="2D3748"/>
          <w:sz w:val="21"/>
        </w:rPr>
        <w:t>Microservices Decoupling: Separating the Order Logistics Tracking pipeline into an asynchronous event-driven microservice powered by RabbitMQ / AWS SQS.</w:t>
      </w:r>
    </w:p>
    <w:p>
      <w:r>
        <w:br w:type="page"/>
      </w:r>
    </w:p>
    <w:p>
      <w:pPr>
        <w:keepNext/>
        <w:spacing w:before="440" w:after="160"/>
      </w:pPr>
      <w:r>
        <w:rPr>
          <w:rFonts w:ascii="Arial" w:hAnsi="Arial"/>
          <w:b/>
          <w:color w:val="0F294A"/>
          <w:sz w:val="32"/>
        </w:rPr>
        <w:t>7. Course Project Synthesis &amp; Conclusion</w:t>
      </w:r>
    </w:p>
    <w:p>
      <w:pPr>
        <w:spacing w:after="120" w:line="283" w:lineRule="auto"/>
      </w:pPr>
      <w:r>
        <w:rPr>
          <w:rFonts w:ascii="Calibri" w:hAnsi="Calibri"/>
          <w:color w:val="2D3748"/>
          <w:sz w:val="21"/>
        </w:rPr>
        <w:t>The Valenti Atelier business plan and functional prototype directly fulfill every specification established in the SEN 803 Software Technology course project brief. By grounding business strategy in practical software engineering, this project proves that modern Information Technology is not merely an operational overhead, but the definitive engine of competitive advantage in contemporary retail.</w:t>
      </w:r>
    </w:p>
    <w:p>
      <w:pPr>
        <w:spacing w:after="120" w:line="283" w:lineRule="auto"/>
      </w:pPr>
      <w:r>
        <w:rPr>
          <w:rFonts w:ascii="Calibri" w:hAnsi="Calibri"/>
          <w:color w:val="2D3748"/>
          <w:sz w:val="21"/>
        </w:rPr>
        <w:t>Across all four foundational pillars of B2C trading—merchandising, transaction processing, fulfillment logistics, and executive administration—the software delivers measurable business value: eliminating intermediate markups, guaranteeing sub-50ms catalog responsiveness, automating promotional discounting, and providing unprecedented order transparency.</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36" w:space="0" w:color="0F294A"/>
              <w:bottom w:val="none"/>
              <w:right w:val="none"/>
            </w:tcBorders>
          </w:tcPr>
          <w:p>
            <w:pPr>
              <w:spacing w:before="40" w:after="80"/>
            </w:pPr>
            <w:r>
              <w:rPr>
                <w:rFonts w:ascii="Arial" w:hAnsi="Arial"/>
                <w:b/>
                <w:color w:val="0F294A"/>
                <w:sz w:val="20"/>
              </w:rPr>
              <w:t>◆ SUMMARY OF PROJECT DELIVERABLES &amp; ACADEMIC COMPLIANCE</w:t>
              <w:br/>
            </w:r>
          </w:p>
          <w:p>
            <w:pPr>
              <w:spacing w:before="40" w:after="40"/>
            </w:pPr>
            <w:r>
              <w:rPr>
                <w:rFonts w:ascii="Georgia" w:hAnsi="Georgia"/>
                <w:i/>
                <w:color w:val="2D3748"/>
                <w:sz w:val="19"/>
              </w:rPr>
              <w:t>✓ Business Plan Report (30 Marks): Comprehensive 8-section strategic and technical document covering market positioning, IT architecture, operations, and financial forecasts.</w:t>
            </w:r>
          </w:p>
          <w:p>
            <w:pPr>
              <w:spacing w:before="40" w:after="40"/>
            </w:pPr>
            <w:r>
              <w:rPr>
                <w:rFonts w:ascii="Georgia" w:hAnsi="Georgia"/>
                <w:i/>
                <w:color w:val="2D3748"/>
                <w:sz w:val="19"/>
              </w:rPr>
              <w:t>✓ Prototype Business Portal (60 Marks): Fully deployed, interactive B2C web portal with responsive storefront, faceted search, voucher engine, simulated checkout, and admin dashboard.</w:t>
            </w:r>
          </w:p>
          <w:p>
            <w:pPr>
              <w:spacing w:before="40" w:after="40"/>
            </w:pPr>
            <w:r>
              <w:rPr>
                <w:rFonts w:ascii="Georgia" w:hAnsi="Georgia"/>
                <w:i/>
                <w:color w:val="2D3748"/>
                <w:sz w:val="19"/>
              </w:rPr>
              <w:t>✓ Local Server Publishing (Presentation Requirement): One-click automated launcher (run.bat / run_portal.bat) ensuring seamless execution on examiner systems on http://localhost:8000/.</w:t>
            </w:r>
          </w:p>
          <w:p>
            <w:pPr>
              <w:spacing w:before="40" w:after="40"/>
            </w:pPr>
            <w:r>
              <w:rPr>
                <w:rFonts w:ascii="Georgia" w:hAnsi="Georgia"/>
                <w:i/>
                <w:color w:val="2D3748"/>
                <w:sz w:val="19"/>
              </w:rPr>
              <w:t>✓ 10-Minute Presentation Deck (10 Marks): Accompanying 12-slide walkthrough guide with minute-by-minute speaking scripts and live portal demonstration milestones.</w:t>
            </w:r>
          </w:p>
        </w:tc>
      </w:tr>
    </w:tbl>
    <w:p>
      <w:pPr>
        <w:spacing w:after="120"/>
      </w:pPr>
    </w:p>
    <w:p>
      <w:pPr>
        <w:keepNext/>
        <w:spacing w:before="280" w:after="120"/>
      </w:pPr>
      <w:r>
        <w:rPr>
          <w:rFonts w:ascii="Arial" w:hAnsi="Arial"/>
          <w:b/>
          <w:color w:val="9A7B38"/>
          <w:sz w:val="25"/>
        </w:rPr>
        <w:t>Academic References</w:t>
      </w:r>
    </w:p>
    <w:p>
      <w:pPr>
        <w:pStyle w:val="ListBullet"/>
        <w:spacing w:after="60" w:line="276" w:lineRule="auto"/>
      </w:pPr>
      <w:r>
        <w:rPr>
          <w:rFonts w:ascii="Calibri" w:hAnsi="Calibri"/>
          <w:color w:val="2D3748"/>
          <w:sz w:val="21"/>
        </w:rPr>
        <w:t>Laudon, K. C., &amp; Traver, C. G. (2023). E-Commerce: Business, Technology, Society (17th ed.). Pearson Higher Ed.</w:t>
      </w:r>
    </w:p>
    <w:p>
      <w:pPr>
        <w:pStyle w:val="ListBullet"/>
        <w:spacing w:after="60" w:line="276" w:lineRule="auto"/>
      </w:pPr>
      <w:r>
        <w:rPr>
          <w:rFonts w:ascii="Calibri" w:hAnsi="Calibri"/>
          <w:color w:val="2D3748"/>
          <w:sz w:val="21"/>
        </w:rPr>
        <w:t>Chaffey, D. (2019). Digital Business and E-Commerce Management: Strategy, Implementation and Practice (7th ed.). Pearson Education.</w:t>
      </w:r>
    </w:p>
    <w:p>
      <w:pPr>
        <w:pStyle w:val="ListBullet"/>
        <w:spacing w:after="60" w:line="276" w:lineRule="auto"/>
      </w:pPr>
      <w:r>
        <w:rPr>
          <w:rFonts w:ascii="Calibri" w:hAnsi="Calibri"/>
          <w:color w:val="2D3748"/>
          <w:sz w:val="21"/>
        </w:rPr>
        <w:t>Porter, M. E. (2001). Strategy and the Internet. Harvard Business Review, 79(3), 62-78.</w:t>
      </w:r>
    </w:p>
    <w:p>
      <w:pPr>
        <w:pStyle w:val="ListBullet"/>
        <w:spacing w:after="60" w:line="276" w:lineRule="auto"/>
      </w:pPr>
      <w:r>
        <w:rPr>
          <w:rFonts w:ascii="Calibri" w:hAnsi="Calibri"/>
          <w:color w:val="2D3748"/>
          <w:sz w:val="21"/>
        </w:rPr>
        <w:t>Sommerville, I. (2020). Software Engineering (10th ed.). Pearson Education.</w:t>
      </w:r>
    </w:p>
    <w:p>
      <w:r>
        <w:br w:type="page"/>
      </w:r>
    </w:p>
    <w:p>
      <w:pPr>
        <w:keepNext/>
        <w:spacing w:before="440" w:after="160"/>
      </w:pPr>
      <w:r>
        <w:rPr>
          <w:rFonts w:ascii="Arial" w:hAnsi="Arial"/>
          <w:b/>
          <w:color w:val="0F294A"/>
          <w:sz w:val="32"/>
        </w:rPr>
        <w:t>Appendix: Prototype Verification, Default Credentials &amp; Manifest</w:t>
      </w:r>
    </w:p>
    <w:p>
      <w:pPr>
        <w:keepNext/>
        <w:spacing w:before="280" w:after="120"/>
      </w:pPr>
      <w:r>
        <w:rPr>
          <w:rFonts w:ascii="Arial" w:hAnsi="Arial"/>
          <w:b/>
          <w:color w:val="9A7B38"/>
          <w:sz w:val="25"/>
        </w:rPr>
        <w:t>A.1 Local Server Launch Instructions</w:t>
      </w:r>
    </w:p>
    <w:p>
      <w:pPr>
        <w:spacing w:after="120" w:line="283" w:lineRule="auto"/>
      </w:pPr>
      <w:r>
        <w:rPr>
          <w:rFonts w:ascii="Calibri" w:hAnsi="Calibri"/>
          <w:color w:val="2D3748"/>
          <w:sz w:val="21"/>
        </w:rPr>
        <w:t>To execute the prototype business portal on any Windows machine:</w:t>
      </w:r>
    </w:p>
    <w:p>
      <w:pPr>
        <w:pStyle w:val="ListBullet"/>
        <w:spacing w:after="60" w:line="276" w:lineRule="auto"/>
      </w:pPr>
      <w:r>
        <w:rPr>
          <w:rFonts w:ascii="Calibri" w:hAnsi="Calibri"/>
          <w:b/>
          <w:color w:val="0F294A"/>
          <w:sz w:val="21"/>
        </w:rPr>
        <w:t xml:space="preserve">Step 1: </w:t>
      </w:r>
      <w:r>
        <w:rPr>
          <w:rFonts w:ascii="Calibri" w:hAnsi="Calibri"/>
          <w:color w:val="2D3748"/>
          <w:sz w:val="21"/>
        </w:rPr>
        <w:t>Double-click run.bat (or run_portal.bat) in the root project folder.</w:t>
      </w:r>
    </w:p>
    <w:p>
      <w:pPr>
        <w:pStyle w:val="ListBullet"/>
        <w:spacing w:after="60" w:line="276" w:lineRule="auto"/>
      </w:pPr>
      <w:r>
        <w:rPr>
          <w:rFonts w:ascii="Calibri" w:hAnsi="Calibri"/>
          <w:b/>
          <w:color w:val="0F294A"/>
          <w:sz w:val="21"/>
        </w:rPr>
        <w:t xml:space="preserve">Step 2: </w:t>
      </w:r>
      <w:r>
        <w:rPr>
          <w:rFonts w:ascii="Calibri" w:hAnsi="Calibri"/>
          <w:color w:val="2D3748"/>
          <w:sz w:val="21"/>
        </w:rPr>
        <w:t>The script automatically verifies the PHP runtime, seeds the database if empty, and frees port 8000.</w:t>
      </w:r>
    </w:p>
    <w:p>
      <w:pPr>
        <w:pStyle w:val="ListBullet"/>
        <w:spacing w:after="60" w:line="276" w:lineRule="auto"/>
      </w:pPr>
      <w:r>
        <w:rPr>
          <w:rFonts w:ascii="Calibri" w:hAnsi="Calibri"/>
          <w:b/>
          <w:color w:val="0F294A"/>
          <w:sz w:val="21"/>
        </w:rPr>
        <w:t xml:space="preserve">Step 3: </w:t>
      </w:r>
      <w:r>
        <w:rPr>
          <w:rFonts w:ascii="Calibri" w:hAnsi="Calibri"/>
          <w:color w:val="2D3748"/>
          <w:sz w:val="21"/>
        </w:rPr>
        <w:t>The system opens your default browser at http://localhost:8000/ showcasing the live storefront.</w:t>
      </w:r>
    </w:p>
    <w:p>
      <w:pPr>
        <w:keepNext/>
        <w:spacing w:before="280" w:after="120"/>
      </w:pPr>
      <w:r>
        <w:rPr>
          <w:rFonts w:ascii="Arial" w:hAnsi="Arial"/>
          <w:b/>
          <w:color w:val="9A7B38"/>
          <w:sz w:val="25"/>
        </w:rPr>
        <w:t>A.2 Default Evaluation Credentials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294A"/>
            <w:tcMar>
              <w:top w:w="120" w:type="dxa"/>
              <w:bottom w:w="120" w:type="dxa"/>
              <w:left w:w="140" w:type="dxa"/>
              <w:right w:w="140" w:type="dxa"/>
            </w:tcMar>
          </w:tcPr>
          <w:p>
            <w:pPr>
              <w:jc w:val="left"/>
            </w:pPr>
            <w:r>
              <w:rPr>
                <w:rFonts w:ascii="Arial" w:hAnsi="Arial"/>
                <w:b/>
                <w:color w:val="FFFFFF"/>
                <w:sz w:val="19"/>
              </w:rPr>
              <w:t>Role</w:t>
            </w:r>
          </w:p>
        </w:tc>
        <w:tc>
          <w:tcPr>
            <w:tcW w:type="dxa" w:w="2592"/>
            <w:shd w:fill="0F294A"/>
            <w:tcMar>
              <w:top w:w="120" w:type="dxa"/>
              <w:bottom w:w="120" w:type="dxa"/>
              <w:left w:w="140" w:type="dxa"/>
              <w:right w:w="140" w:type="dxa"/>
            </w:tcMar>
          </w:tcPr>
          <w:p>
            <w:pPr>
              <w:jc w:val="left"/>
            </w:pPr>
            <w:r>
              <w:rPr>
                <w:rFonts w:ascii="Arial" w:hAnsi="Arial"/>
                <w:b/>
                <w:color w:val="FFFFFF"/>
                <w:sz w:val="19"/>
              </w:rPr>
              <w:t>Access URL</w:t>
            </w:r>
          </w:p>
        </w:tc>
        <w:tc>
          <w:tcPr>
            <w:tcW w:type="dxa" w:w="2016"/>
            <w:shd w:fill="0F294A"/>
            <w:tcMar>
              <w:top w:w="120" w:type="dxa"/>
              <w:bottom w:w="120" w:type="dxa"/>
              <w:left w:w="140" w:type="dxa"/>
              <w:right w:w="140" w:type="dxa"/>
            </w:tcMar>
          </w:tcPr>
          <w:p>
            <w:pPr>
              <w:jc w:val="left"/>
            </w:pPr>
            <w:r>
              <w:rPr>
                <w:rFonts w:ascii="Arial" w:hAnsi="Arial"/>
                <w:b/>
                <w:color w:val="FFFFFF"/>
                <w:sz w:val="19"/>
              </w:rPr>
              <w:t>Email</w:t>
            </w:r>
          </w:p>
        </w:tc>
        <w:tc>
          <w:tcPr>
            <w:tcW w:type="dxa" w:w="1440"/>
            <w:shd w:fill="0F294A"/>
            <w:tcMar>
              <w:top w:w="120" w:type="dxa"/>
              <w:bottom w:w="120" w:type="dxa"/>
              <w:left w:w="140" w:type="dxa"/>
              <w:right w:w="140" w:type="dxa"/>
            </w:tcMar>
          </w:tcPr>
          <w:p>
            <w:pPr>
              <w:jc w:val="left"/>
            </w:pPr>
            <w:r>
              <w:rPr>
                <w:rFonts w:ascii="Arial" w:hAnsi="Arial"/>
                <w:b/>
                <w:color w:val="FFFFFF"/>
                <w:sz w:val="19"/>
              </w:rPr>
              <w:t>Password</w:t>
            </w:r>
          </w:p>
        </w:tc>
        <w:tc>
          <w:tcPr>
            <w:tcW w:type="dxa" w:w="2592"/>
            <w:shd w:fill="0F294A"/>
            <w:tcMar>
              <w:top w:w="120" w:type="dxa"/>
              <w:bottom w:w="120" w:type="dxa"/>
              <w:left w:w="140" w:type="dxa"/>
              <w:right w:w="140" w:type="dxa"/>
            </w:tcMar>
          </w:tcPr>
          <w:p>
            <w:pPr>
              <w:jc w:val="left"/>
            </w:pPr>
            <w:r>
              <w:rPr>
                <w:rFonts w:ascii="Arial" w:hAnsi="Arial"/>
                <w:b/>
                <w:color w:val="FFFFFF"/>
                <w:sz w:val="19"/>
              </w:rPr>
              <w:t>Permissions</w:t>
            </w:r>
          </w:p>
        </w:tc>
      </w:tr>
      <w:tr>
        <w:tc>
          <w:tcPr>
            <w:tcW w:type="dxa" w:w="1728"/>
            <w:shd w:fill="FFFFFF"/>
            <w:tcMar>
              <w:top w:w="100" w:type="dxa"/>
              <w:bottom w:w="100" w:type="dxa"/>
              <w:left w:w="140" w:type="dxa"/>
              <w:right w:w="140" w:type="dxa"/>
            </w:tcMar>
          </w:tcPr>
          <w:p>
            <w:pPr>
              <w:jc w:val="left"/>
            </w:pPr>
            <w:r>
              <w:rPr>
                <w:rFonts w:ascii="Calibri" w:hAnsi="Calibri"/>
                <w:color w:val="2D3748"/>
                <w:sz w:val="19"/>
              </w:rPr>
              <w:t>Administrator</w:t>
            </w:r>
          </w:p>
        </w:tc>
        <w:tc>
          <w:tcPr>
            <w:tcW w:type="dxa" w:w="2592"/>
            <w:shd w:fill="FFFFFF"/>
            <w:tcMar>
              <w:top w:w="100" w:type="dxa"/>
              <w:bottom w:w="100" w:type="dxa"/>
              <w:left w:w="140" w:type="dxa"/>
              <w:right w:w="140" w:type="dxa"/>
            </w:tcMar>
          </w:tcPr>
          <w:p>
            <w:pPr>
              <w:jc w:val="left"/>
            </w:pPr>
            <w:r>
              <w:rPr>
                <w:rFonts w:ascii="Calibri" w:hAnsi="Calibri"/>
                <w:color w:val="2D3748"/>
                <w:sz w:val="19"/>
              </w:rPr>
              <w:t>http://localhost:8000/admin/index.php</w:t>
            </w:r>
          </w:p>
        </w:tc>
        <w:tc>
          <w:tcPr>
            <w:tcW w:type="dxa" w:w="2016"/>
            <w:shd w:fill="FFFFFF"/>
            <w:tcMar>
              <w:top w:w="100" w:type="dxa"/>
              <w:bottom w:w="100" w:type="dxa"/>
              <w:left w:w="140" w:type="dxa"/>
              <w:right w:w="140" w:type="dxa"/>
            </w:tcMar>
          </w:tcPr>
          <w:p>
            <w:pPr>
              <w:jc w:val="left"/>
            </w:pPr>
            <w:r>
              <w:rPr>
                <w:rFonts w:ascii="Calibri" w:hAnsi="Calibri"/>
                <w:color w:val="2D3748"/>
                <w:sz w:val="19"/>
              </w:rPr>
              <w:t>admin@valenti.com</w:t>
            </w:r>
          </w:p>
        </w:tc>
        <w:tc>
          <w:tcPr>
            <w:tcW w:type="dxa" w:w="1440"/>
            <w:shd w:fill="FFFFFF"/>
            <w:tcMar>
              <w:top w:w="100" w:type="dxa"/>
              <w:bottom w:w="100" w:type="dxa"/>
              <w:left w:w="140" w:type="dxa"/>
              <w:right w:w="140" w:type="dxa"/>
            </w:tcMar>
          </w:tcPr>
          <w:p>
            <w:pPr>
              <w:jc w:val="left"/>
            </w:pPr>
            <w:r>
              <w:rPr>
                <w:rFonts w:ascii="Calibri" w:hAnsi="Calibri"/>
                <w:color w:val="2D3748"/>
                <w:sz w:val="19"/>
              </w:rPr>
              <w:t>admin123</w:t>
            </w:r>
          </w:p>
        </w:tc>
        <w:tc>
          <w:tcPr>
            <w:tcW w:type="dxa" w:w="2592"/>
            <w:shd w:fill="FFFFFF"/>
            <w:tcMar>
              <w:top w:w="100" w:type="dxa"/>
              <w:bottom w:w="100" w:type="dxa"/>
              <w:left w:w="140" w:type="dxa"/>
              <w:right w:w="140" w:type="dxa"/>
            </w:tcMar>
          </w:tcPr>
          <w:p>
            <w:pPr>
              <w:jc w:val="left"/>
            </w:pPr>
            <w:r>
              <w:rPr>
                <w:rFonts w:ascii="Calibri" w:hAnsi="Calibri"/>
                <w:color w:val="2D3748"/>
                <w:sz w:val="19"/>
              </w:rPr>
              <w:t>Full Operations Dashboard, Garment CRUD, Order Dispatch Updater</w:t>
            </w:r>
          </w:p>
        </w:tc>
      </w:tr>
      <w:tr>
        <w:tc>
          <w:tcPr>
            <w:tcW w:type="dxa" w:w="1728"/>
            <w:shd w:fill="F8FAFC"/>
            <w:tcMar>
              <w:top w:w="100" w:type="dxa"/>
              <w:bottom w:w="100" w:type="dxa"/>
              <w:left w:w="140" w:type="dxa"/>
              <w:right w:w="140" w:type="dxa"/>
            </w:tcMar>
          </w:tcPr>
          <w:p>
            <w:pPr>
              <w:jc w:val="left"/>
            </w:pPr>
            <w:r>
              <w:rPr>
                <w:rFonts w:ascii="Calibri" w:hAnsi="Calibri"/>
                <w:color w:val="2D3748"/>
                <w:sz w:val="19"/>
              </w:rPr>
              <w:t>Patron (Customer)</w:t>
            </w:r>
          </w:p>
        </w:tc>
        <w:tc>
          <w:tcPr>
            <w:tcW w:type="dxa" w:w="2592"/>
            <w:shd w:fill="F8FAFC"/>
            <w:tcMar>
              <w:top w:w="100" w:type="dxa"/>
              <w:bottom w:w="100" w:type="dxa"/>
              <w:left w:w="140" w:type="dxa"/>
              <w:right w:w="140" w:type="dxa"/>
            </w:tcMar>
          </w:tcPr>
          <w:p>
            <w:pPr>
              <w:jc w:val="left"/>
            </w:pPr>
            <w:r>
              <w:rPr>
                <w:rFonts w:ascii="Calibri" w:hAnsi="Calibri"/>
                <w:color w:val="2D3748"/>
                <w:sz w:val="19"/>
              </w:rPr>
              <w:t>http://localhost:8000/login.php</w:t>
            </w:r>
          </w:p>
        </w:tc>
        <w:tc>
          <w:tcPr>
            <w:tcW w:type="dxa" w:w="2016"/>
            <w:shd w:fill="F8FAFC"/>
            <w:tcMar>
              <w:top w:w="100" w:type="dxa"/>
              <w:bottom w:w="100" w:type="dxa"/>
              <w:left w:w="140" w:type="dxa"/>
              <w:right w:w="140" w:type="dxa"/>
            </w:tcMar>
          </w:tcPr>
          <w:p>
            <w:pPr>
              <w:jc w:val="left"/>
            </w:pPr>
            <w:r>
              <w:rPr>
                <w:rFonts w:ascii="Calibri" w:hAnsi="Calibri"/>
                <w:color w:val="2D3748"/>
                <w:sz w:val="19"/>
              </w:rPr>
              <w:t>customer@valenti.com</w:t>
            </w:r>
          </w:p>
        </w:tc>
        <w:tc>
          <w:tcPr>
            <w:tcW w:type="dxa" w:w="1440"/>
            <w:shd w:fill="F8FAFC"/>
            <w:tcMar>
              <w:top w:w="100" w:type="dxa"/>
              <w:bottom w:w="100" w:type="dxa"/>
              <w:left w:w="140" w:type="dxa"/>
              <w:right w:w="140" w:type="dxa"/>
            </w:tcMar>
          </w:tcPr>
          <w:p>
            <w:pPr>
              <w:jc w:val="left"/>
            </w:pPr>
            <w:r>
              <w:rPr>
                <w:rFonts w:ascii="Calibri" w:hAnsi="Calibri"/>
                <w:color w:val="2D3748"/>
                <w:sz w:val="19"/>
              </w:rPr>
              <w:t>customer123</w:t>
            </w:r>
          </w:p>
        </w:tc>
        <w:tc>
          <w:tcPr>
            <w:tcW w:type="dxa" w:w="2592"/>
            <w:shd w:fill="F8FAFC"/>
            <w:tcMar>
              <w:top w:w="100" w:type="dxa"/>
              <w:bottom w:w="100" w:type="dxa"/>
              <w:left w:w="140" w:type="dxa"/>
              <w:right w:w="140" w:type="dxa"/>
            </w:tcMar>
          </w:tcPr>
          <w:p>
            <w:pPr>
              <w:jc w:val="left"/>
            </w:pPr>
            <w:r>
              <w:rPr>
                <w:rFonts w:ascii="Calibri" w:hAnsi="Calibri"/>
                <w:color w:val="2D3748"/>
                <w:sz w:val="19"/>
              </w:rPr>
              <w:t>Catalog Browsing, Bag Management, Checkout, Order Tracking</w:t>
            </w:r>
          </w:p>
        </w:tc>
      </w:tr>
    </w:tbl>
    <w:p>
      <w:pPr>
        <w:spacing w:after="120"/>
      </w:pPr>
    </w:p>
    <w:p>
      <w:pPr>
        <w:keepNext/>
        <w:spacing w:before="280" w:after="120"/>
      </w:pPr>
      <w:r>
        <w:rPr>
          <w:rFonts w:ascii="Arial" w:hAnsi="Arial"/>
          <w:b/>
          <w:color w:val="9A7B38"/>
          <w:sz w:val="25"/>
        </w:rPr>
        <w:t>A.3 Promotional Coupons for Live Demonstration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F294A"/>
            <w:tcMar>
              <w:top w:w="120" w:type="dxa"/>
              <w:bottom w:w="120" w:type="dxa"/>
              <w:left w:w="140" w:type="dxa"/>
              <w:right w:w="140" w:type="dxa"/>
            </w:tcMar>
          </w:tcPr>
          <w:p>
            <w:pPr>
              <w:jc w:val="left"/>
            </w:pPr>
            <w:r>
              <w:rPr>
                <w:rFonts w:ascii="Arial" w:hAnsi="Arial"/>
                <w:b/>
                <w:color w:val="FFFFFF"/>
                <w:sz w:val="19"/>
              </w:rPr>
              <w:t>Code</w:t>
            </w:r>
          </w:p>
        </w:tc>
        <w:tc>
          <w:tcPr>
            <w:tcW w:type="dxa" w:w="1584"/>
            <w:shd w:fill="0F294A"/>
            <w:tcMar>
              <w:top w:w="120" w:type="dxa"/>
              <w:bottom w:w="120" w:type="dxa"/>
              <w:left w:w="140" w:type="dxa"/>
              <w:right w:w="140" w:type="dxa"/>
            </w:tcMar>
          </w:tcPr>
          <w:p>
            <w:pPr>
              <w:jc w:val="left"/>
            </w:pPr>
            <w:r>
              <w:rPr>
                <w:rFonts w:ascii="Arial" w:hAnsi="Arial"/>
                <w:b/>
                <w:color w:val="FFFFFF"/>
                <w:sz w:val="19"/>
              </w:rPr>
              <w:t>Type</w:t>
            </w:r>
          </w:p>
        </w:tc>
        <w:tc>
          <w:tcPr>
            <w:tcW w:type="dxa" w:w="1584"/>
            <w:shd w:fill="0F294A"/>
            <w:tcMar>
              <w:top w:w="120" w:type="dxa"/>
              <w:bottom w:w="120" w:type="dxa"/>
              <w:left w:w="140" w:type="dxa"/>
              <w:right w:w="140" w:type="dxa"/>
            </w:tcMar>
          </w:tcPr>
          <w:p>
            <w:pPr>
              <w:jc w:val="left"/>
            </w:pPr>
            <w:r>
              <w:rPr>
                <w:rFonts w:ascii="Arial" w:hAnsi="Arial"/>
                <w:b/>
                <w:color w:val="FFFFFF"/>
                <w:sz w:val="19"/>
              </w:rPr>
              <w:t>Benefit</w:t>
            </w:r>
          </w:p>
        </w:tc>
        <w:tc>
          <w:tcPr>
            <w:tcW w:type="dxa" w:w="2016"/>
            <w:shd w:fill="0F294A"/>
            <w:tcMar>
              <w:top w:w="120" w:type="dxa"/>
              <w:bottom w:w="120" w:type="dxa"/>
              <w:left w:w="140" w:type="dxa"/>
              <w:right w:w="140" w:type="dxa"/>
            </w:tcMar>
          </w:tcPr>
          <w:p>
            <w:pPr>
              <w:jc w:val="left"/>
            </w:pPr>
            <w:r>
              <w:rPr>
                <w:rFonts w:ascii="Arial" w:hAnsi="Arial"/>
                <w:b/>
                <w:color w:val="FFFFFF"/>
                <w:sz w:val="19"/>
              </w:rPr>
              <w:t>Conditions</w:t>
            </w:r>
          </w:p>
        </w:tc>
        <w:tc>
          <w:tcPr>
            <w:tcW w:type="dxa" w:w="2592"/>
            <w:shd w:fill="0F294A"/>
            <w:tcMar>
              <w:top w:w="120" w:type="dxa"/>
              <w:bottom w:w="120" w:type="dxa"/>
              <w:left w:w="140" w:type="dxa"/>
              <w:right w:w="140" w:type="dxa"/>
            </w:tcMar>
          </w:tcPr>
          <w:p>
            <w:pPr>
              <w:jc w:val="left"/>
            </w:pPr>
            <w:r>
              <w:rPr>
                <w:rFonts w:ascii="Arial" w:hAnsi="Arial"/>
                <w:b/>
                <w:color w:val="FFFFFF"/>
                <w:sz w:val="19"/>
              </w:rPr>
              <w:t>Demonstration Use Case</w:t>
            </w:r>
          </w:p>
        </w:tc>
      </w:tr>
      <w:tr>
        <w:tc>
          <w:tcPr>
            <w:tcW w:type="dxa" w:w="1584"/>
            <w:shd w:fill="FFFFFF"/>
            <w:tcMar>
              <w:top w:w="100" w:type="dxa"/>
              <w:bottom w:w="100" w:type="dxa"/>
              <w:left w:w="140" w:type="dxa"/>
              <w:right w:w="140" w:type="dxa"/>
            </w:tcMar>
          </w:tcPr>
          <w:p>
            <w:pPr>
              <w:jc w:val="left"/>
            </w:pPr>
            <w:r>
              <w:rPr>
                <w:rFonts w:ascii="Calibri" w:hAnsi="Calibri"/>
                <w:color w:val="2D3748"/>
                <w:sz w:val="19"/>
              </w:rPr>
              <w:t>SEN803</w:t>
            </w:r>
          </w:p>
        </w:tc>
        <w:tc>
          <w:tcPr>
            <w:tcW w:type="dxa" w:w="1584"/>
            <w:shd w:fill="FFFFFF"/>
            <w:tcMar>
              <w:top w:w="100" w:type="dxa"/>
              <w:bottom w:w="100" w:type="dxa"/>
              <w:left w:w="140" w:type="dxa"/>
              <w:right w:w="140" w:type="dxa"/>
            </w:tcMar>
          </w:tcPr>
          <w:p>
            <w:pPr>
              <w:jc w:val="left"/>
            </w:pPr>
            <w:r>
              <w:rPr>
                <w:rFonts w:ascii="Calibri" w:hAnsi="Calibri"/>
                <w:color w:val="2D3748"/>
                <w:sz w:val="19"/>
              </w:rPr>
              <w:t>Percentage</w:t>
            </w:r>
          </w:p>
        </w:tc>
        <w:tc>
          <w:tcPr>
            <w:tcW w:type="dxa" w:w="1584"/>
            <w:shd w:fill="FFFFFF"/>
            <w:tcMar>
              <w:top w:w="100" w:type="dxa"/>
              <w:bottom w:w="100" w:type="dxa"/>
              <w:left w:w="140" w:type="dxa"/>
              <w:right w:w="140" w:type="dxa"/>
            </w:tcMar>
          </w:tcPr>
          <w:p>
            <w:pPr>
              <w:jc w:val="left"/>
            </w:pPr>
            <w:r>
              <w:rPr>
                <w:rFonts w:ascii="Calibri" w:hAnsi="Calibri"/>
                <w:color w:val="2D3748"/>
                <w:sz w:val="19"/>
              </w:rPr>
              <w:t>20% Off</w:t>
            </w:r>
          </w:p>
        </w:tc>
        <w:tc>
          <w:tcPr>
            <w:tcW w:type="dxa" w:w="2016"/>
            <w:shd w:fill="FFFFFF"/>
            <w:tcMar>
              <w:top w:w="100" w:type="dxa"/>
              <w:bottom w:w="100" w:type="dxa"/>
              <w:left w:w="140" w:type="dxa"/>
              <w:right w:w="140" w:type="dxa"/>
            </w:tcMar>
          </w:tcPr>
          <w:p>
            <w:pPr>
              <w:jc w:val="left"/>
            </w:pPr>
            <w:r>
              <w:rPr>
                <w:rFonts w:ascii="Calibri" w:hAnsi="Calibri"/>
                <w:color w:val="2D3748"/>
                <w:sz w:val="19"/>
              </w:rPr>
              <w:t>Min spend £50.00</w:t>
            </w:r>
          </w:p>
        </w:tc>
        <w:tc>
          <w:tcPr>
            <w:tcW w:type="dxa" w:w="2592"/>
            <w:shd w:fill="FFFFFF"/>
            <w:tcMar>
              <w:top w:w="100" w:type="dxa"/>
              <w:bottom w:w="100" w:type="dxa"/>
              <w:left w:w="140" w:type="dxa"/>
              <w:right w:w="140" w:type="dxa"/>
            </w:tcMar>
          </w:tcPr>
          <w:p>
            <w:pPr>
              <w:jc w:val="left"/>
            </w:pPr>
            <w:r>
              <w:rPr>
                <w:rFonts w:ascii="Calibri" w:hAnsi="Calibri"/>
                <w:color w:val="2D3748"/>
                <w:sz w:val="19"/>
              </w:rPr>
              <w:t>Course project evaluation discount</w:t>
            </w:r>
          </w:p>
        </w:tc>
      </w:tr>
      <w:tr>
        <w:tc>
          <w:tcPr>
            <w:tcW w:type="dxa" w:w="1584"/>
            <w:shd w:fill="F8FAFC"/>
            <w:tcMar>
              <w:top w:w="100" w:type="dxa"/>
              <w:bottom w:w="100" w:type="dxa"/>
              <w:left w:w="140" w:type="dxa"/>
              <w:right w:w="140" w:type="dxa"/>
            </w:tcMar>
          </w:tcPr>
          <w:p>
            <w:pPr>
              <w:jc w:val="left"/>
            </w:pPr>
            <w:r>
              <w:rPr>
                <w:rFonts w:ascii="Calibri" w:hAnsi="Calibri"/>
                <w:color w:val="2D3748"/>
                <w:sz w:val="19"/>
              </w:rPr>
              <w:t>WELCOME10</w:t>
            </w:r>
          </w:p>
        </w:tc>
        <w:tc>
          <w:tcPr>
            <w:tcW w:type="dxa" w:w="1584"/>
            <w:shd w:fill="F8FAFC"/>
            <w:tcMar>
              <w:top w:w="100" w:type="dxa"/>
              <w:bottom w:w="100" w:type="dxa"/>
              <w:left w:w="140" w:type="dxa"/>
              <w:right w:w="140" w:type="dxa"/>
            </w:tcMar>
          </w:tcPr>
          <w:p>
            <w:pPr>
              <w:jc w:val="left"/>
            </w:pPr>
            <w:r>
              <w:rPr>
                <w:rFonts w:ascii="Calibri" w:hAnsi="Calibri"/>
                <w:color w:val="2D3748"/>
                <w:sz w:val="19"/>
              </w:rPr>
              <w:t>Percentage</w:t>
            </w:r>
          </w:p>
        </w:tc>
        <w:tc>
          <w:tcPr>
            <w:tcW w:type="dxa" w:w="1584"/>
            <w:shd w:fill="F8FAFC"/>
            <w:tcMar>
              <w:top w:w="100" w:type="dxa"/>
              <w:bottom w:w="100" w:type="dxa"/>
              <w:left w:w="140" w:type="dxa"/>
              <w:right w:w="140" w:type="dxa"/>
            </w:tcMar>
          </w:tcPr>
          <w:p>
            <w:pPr>
              <w:jc w:val="left"/>
            </w:pPr>
            <w:r>
              <w:rPr>
                <w:rFonts w:ascii="Calibri" w:hAnsi="Calibri"/>
                <w:color w:val="2D3748"/>
                <w:sz w:val="19"/>
              </w:rPr>
              <w:t>10% Off</w:t>
            </w:r>
          </w:p>
        </w:tc>
        <w:tc>
          <w:tcPr>
            <w:tcW w:type="dxa" w:w="2016"/>
            <w:shd w:fill="F8FAFC"/>
            <w:tcMar>
              <w:top w:w="100" w:type="dxa"/>
              <w:bottom w:w="100" w:type="dxa"/>
              <w:left w:w="140" w:type="dxa"/>
              <w:right w:w="140" w:type="dxa"/>
            </w:tcMar>
          </w:tcPr>
          <w:p>
            <w:pPr>
              <w:jc w:val="left"/>
            </w:pPr>
            <w:r>
              <w:rPr>
                <w:rFonts w:ascii="Calibri" w:hAnsi="Calibri"/>
                <w:color w:val="2D3748"/>
                <w:sz w:val="19"/>
              </w:rPr>
              <w:t>No minimum</w:t>
            </w:r>
          </w:p>
        </w:tc>
        <w:tc>
          <w:tcPr>
            <w:tcW w:type="dxa" w:w="2592"/>
            <w:shd w:fill="F8FAFC"/>
            <w:tcMar>
              <w:top w:w="100" w:type="dxa"/>
              <w:bottom w:w="100" w:type="dxa"/>
              <w:left w:w="140" w:type="dxa"/>
              <w:right w:w="140" w:type="dxa"/>
            </w:tcMar>
          </w:tcPr>
          <w:p>
            <w:pPr>
              <w:jc w:val="left"/>
            </w:pPr>
            <w:r>
              <w:rPr>
                <w:rFonts w:ascii="Calibri" w:hAnsi="Calibri"/>
                <w:color w:val="2D3748"/>
                <w:sz w:val="19"/>
              </w:rPr>
              <w:t>New patron registration incentive</w:t>
            </w:r>
          </w:p>
        </w:tc>
      </w:tr>
      <w:tr>
        <w:tc>
          <w:tcPr>
            <w:tcW w:type="dxa" w:w="1584"/>
            <w:shd w:fill="FFFFFF"/>
            <w:tcMar>
              <w:top w:w="100" w:type="dxa"/>
              <w:bottom w:w="100" w:type="dxa"/>
              <w:left w:w="140" w:type="dxa"/>
              <w:right w:w="140" w:type="dxa"/>
            </w:tcMar>
          </w:tcPr>
          <w:p>
            <w:pPr>
              <w:jc w:val="left"/>
            </w:pPr>
            <w:r>
              <w:rPr>
                <w:rFonts w:ascii="Calibri" w:hAnsi="Calibri"/>
                <w:color w:val="2D3748"/>
                <w:sz w:val="19"/>
              </w:rPr>
              <w:t>VALENTI50</w:t>
            </w:r>
          </w:p>
        </w:tc>
        <w:tc>
          <w:tcPr>
            <w:tcW w:type="dxa" w:w="1584"/>
            <w:shd w:fill="FFFFFF"/>
            <w:tcMar>
              <w:top w:w="100" w:type="dxa"/>
              <w:bottom w:w="100" w:type="dxa"/>
              <w:left w:w="140" w:type="dxa"/>
              <w:right w:w="140" w:type="dxa"/>
            </w:tcMar>
          </w:tcPr>
          <w:p>
            <w:pPr>
              <w:jc w:val="left"/>
            </w:pPr>
            <w:r>
              <w:rPr>
                <w:rFonts w:ascii="Calibri" w:hAnsi="Calibri"/>
                <w:color w:val="2D3748"/>
                <w:sz w:val="19"/>
              </w:rPr>
              <w:t>Fixed Value</w:t>
            </w:r>
          </w:p>
        </w:tc>
        <w:tc>
          <w:tcPr>
            <w:tcW w:type="dxa" w:w="1584"/>
            <w:shd w:fill="FFFFFF"/>
            <w:tcMar>
              <w:top w:w="100" w:type="dxa"/>
              <w:bottom w:w="100" w:type="dxa"/>
              <w:left w:w="140" w:type="dxa"/>
              <w:right w:w="140" w:type="dxa"/>
            </w:tcMar>
          </w:tcPr>
          <w:p>
            <w:pPr>
              <w:jc w:val="left"/>
            </w:pPr>
            <w:r>
              <w:rPr>
                <w:rFonts w:ascii="Calibri" w:hAnsi="Calibri"/>
                <w:color w:val="2D3748"/>
                <w:sz w:val="19"/>
              </w:rPr>
              <w:t>£50.00 Flat Off</w:t>
            </w:r>
          </w:p>
        </w:tc>
        <w:tc>
          <w:tcPr>
            <w:tcW w:type="dxa" w:w="2016"/>
            <w:shd w:fill="FFFFFF"/>
            <w:tcMar>
              <w:top w:w="100" w:type="dxa"/>
              <w:bottom w:w="100" w:type="dxa"/>
              <w:left w:w="140" w:type="dxa"/>
              <w:right w:w="140" w:type="dxa"/>
            </w:tcMar>
          </w:tcPr>
          <w:p>
            <w:pPr>
              <w:jc w:val="left"/>
            </w:pPr>
            <w:r>
              <w:rPr>
                <w:rFonts w:ascii="Calibri" w:hAnsi="Calibri"/>
                <w:color w:val="2D3748"/>
                <w:sz w:val="19"/>
              </w:rPr>
              <w:t>Min spend £200.00</w:t>
            </w:r>
          </w:p>
        </w:tc>
        <w:tc>
          <w:tcPr>
            <w:tcW w:type="dxa" w:w="2592"/>
            <w:shd w:fill="FFFFFF"/>
            <w:tcMar>
              <w:top w:w="100" w:type="dxa"/>
              <w:bottom w:w="100" w:type="dxa"/>
              <w:left w:w="140" w:type="dxa"/>
              <w:right w:w="140" w:type="dxa"/>
            </w:tcMar>
          </w:tcPr>
          <w:p>
            <w:pPr>
              <w:jc w:val="left"/>
            </w:pPr>
            <w:r>
              <w:rPr>
                <w:rFonts w:ascii="Calibri" w:hAnsi="Calibri"/>
                <w:color w:val="2D3748"/>
                <w:sz w:val="19"/>
              </w:rPr>
              <w:t>High-value luxury basket incentive</w:t>
            </w:r>
          </w:p>
        </w:tc>
      </w:tr>
    </w:tbl>
    <w:p>
      <w:pPr>
        <w:spacing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18096"/>
        <w:sz w:val="17"/>
      </w:rPr>
      <w:t>SEN 803 Software Technology | Valenti Atelier Business Plan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