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</w:pPr>
      <w:r>
        <w:drawing>
          <wp:inline distT="0" distB="0" distL="0" distR="0">
            <wp:extent cx="609600" cy="609600"/>
            <wp:effectExtent t="0" r="0" b="0" l="0"/>
            <wp:docPr id="1" name="logo" descr="PI logo mark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0F172A"/>
          <w:spacing w:val="40"/>
          <w:sz w:val="26"/>
          <w:szCs w:val="26"/>
        </w:rPr>
        <w:t xml:space="preserve">   PROPERTY INSIGHT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520"/>
              <w:left w:type="dxa" w:w="420"/>
              <w:bottom w:type="dxa" w:w="520"/>
              <w:right w:type="dxa" w:w="4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A5B4FC"/>
                <w:spacing w:val="60"/>
                <w:sz w:val="18"/>
                <w:szCs w:val="18"/>
              </w:rPr>
              <w:t xml:space="preserve">PROJECT DOCUMENTATION</w:t>
            </w:r>
          </w:p>
          <w:p>
            <w:pPr>
              <w:spacing w:after="14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Real Estate Investment Advisor</w:t>
            </w:r>
          </w:p>
          <w:p>
            <w:pPr>
              <w:spacing w:after="240" w:line="300" w:lineRule="auto"/>
            </w:pPr>
            <w:r>
              <w:rPr>
                <w:rFonts w:ascii="Arial" w:cs="Arial" w:eastAsia="Arial" w:hAnsi="Arial"/>
                <w:color w:val="C7D2FE"/>
                <w:sz w:val="24"/>
                <w:szCs w:val="24"/>
              </w:rPr>
              <w:t xml:space="preserve">Predicting property profitability and 5-year future value across India — an end-to-end data analytics, machine-learning and decision-support project.</w:t>
            </w:r>
          </w:p>
          <w:p>
            <w:r>
              <w:rPr>
                <w:rFonts w:ascii="Arial" w:cs="Arial" w:eastAsia="Arial" w:hAnsi="Arial"/>
                <w:b/>
                <w:bCs/>
                <w:color w:val="FDE68A"/>
                <w:sz w:val="22"/>
                <w:szCs w:val="22"/>
              </w:rPr>
              <w:t xml:space="preserve">Methodology  ·  Findings  ·  Use Cases</w:t>
            </w:r>
          </w:p>
        </w:tc>
      </w:tr>
    </w:tbl>
    <w:p>
      <w:pPr>
        <w:spacing w:after="200"/>
      </w:pPr>
    </w:p>
    <w:tbl>
      <w:tblPr>
        <w:tblW w:type="dxa" w:w="90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7D2FE" w:sz="4"/>
              <w:left w:val="single" w:color="FFFFFF" w:sz="4"/>
              <w:bottom w:val="single" w:color="C7D2FE" w:sz="4"/>
              <w:right w:val="single" w:color="FFFFFF" w:sz="4"/>
            </w:tcBorders>
            <w:shd w:fill="EEF2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Python</w:t>
            </w:r>
          </w:p>
        </w:tc>
        <w:tc>
          <w:tcPr>
            <w:tcW w:type="dxa" w:w="1289"/>
            <w:tcBorders>
              <w:top w:val="single" w:color="C7D2FE" w:sz="4"/>
              <w:left w:val="single" w:color="FFFFFF" w:sz="4"/>
              <w:bottom w:val="single" w:color="C7D2FE" w:sz="4"/>
              <w:right w:val="single" w:color="FFFFFF" w:sz="4"/>
            </w:tcBorders>
            <w:shd w:fill="EEF2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Pandas</w:t>
            </w:r>
          </w:p>
        </w:tc>
        <w:tc>
          <w:tcPr>
            <w:tcW w:type="dxa" w:w="1289"/>
            <w:tcBorders>
              <w:top w:val="single" w:color="C7D2FE" w:sz="4"/>
              <w:left w:val="single" w:color="FFFFFF" w:sz="4"/>
              <w:bottom w:val="single" w:color="C7D2FE" w:sz="4"/>
              <w:right w:val="single" w:color="FFFFFF" w:sz="4"/>
            </w:tcBorders>
            <w:shd w:fill="EEF2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Plotly</w:t>
            </w:r>
          </w:p>
        </w:tc>
        <w:tc>
          <w:tcPr>
            <w:tcW w:type="dxa" w:w="1289"/>
            <w:tcBorders>
              <w:top w:val="single" w:color="C7D2FE" w:sz="4"/>
              <w:left w:val="single" w:color="FFFFFF" w:sz="4"/>
              <w:bottom w:val="single" w:color="C7D2FE" w:sz="4"/>
              <w:right w:val="single" w:color="FFFFFF" w:sz="4"/>
            </w:tcBorders>
            <w:shd w:fill="EEF2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1289"/>
            <w:tcBorders>
              <w:top w:val="single" w:color="C7D2FE" w:sz="4"/>
              <w:left w:val="single" w:color="FFFFFF" w:sz="4"/>
              <w:bottom w:val="single" w:color="C7D2FE" w:sz="4"/>
              <w:right w:val="single" w:color="FFFFFF" w:sz="4"/>
            </w:tcBorders>
            <w:shd w:fill="EEF2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XGBoost</w:t>
            </w:r>
          </w:p>
        </w:tc>
        <w:tc>
          <w:tcPr>
            <w:tcW w:type="dxa" w:w="1289"/>
            <w:tcBorders>
              <w:top w:val="single" w:color="C7D2FE" w:sz="4"/>
              <w:left w:val="single" w:color="FFFFFF" w:sz="4"/>
              <w:bottom w:val="single" w:color="C7D2FE" w:sz="4"/>
              <w:right w:val="single" w:color="FFFFFF" w:sz="4"/>
            </w:tcBorders>
            <w:shd w:fill="EEF2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MLflow</w:t>
            </w:r>
          </w:p>
        </w:tc>
        <w:tc>
          <w:tcPr>
            <w:tcW w:type="dxa" w:w="1289"/>
            <w:tcBorders>
              <w:top w:val="single" w:color="C7D2FE" w:sz="4"/>
              <w:left w:val="single" w:color="FFFFFF" w:sz="4"/>
              <w:bottom w:val="single" w:color="C7D2FE" w:sz="4"/>
              <w:right w:val="single" w:color="FFFFFF" w:sz="4"/>
            </w:tcBorders>
            <w:shd w:fill="EEF2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Streamlit</w:t>
            </w:r>
          </w:p>
        </w:tc>
      </w:tr>
    </w:tbl>
    <w:p>
      <w:pPr>
        <w:spacing w:after="2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 a glance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 Suman Sangeet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 estate · investment analytics · financial decision support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India housing listings — 250,000 rows × 23 columns (40,000-row sample powers the app)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Two questions answered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Is this property a Good Investment? (classification)   2) What will it be worth in 5 years? (regression)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Reproducible notebook · shared feature module · MLflow-tracked models · Streamlit app with an Insight Lab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 · October 2026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1. Recruiter snapshot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An at-a-glance view of what was built, how well it works, and which skills it demonstrates. Every number on this page is taken from the project notebook.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cantSplit/>
        </w:trPr>
        <w:tc>
          <w:tcPr>
            <w:tcW w:type="dxa" w:w="2256"/>
            <w:tcBorders>
              <w:top w:val="single" w:color="4F46E5" w:sz="28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4"/>
                <w:szCs w:val="34"/>
              </w:rPr>
              <w:t xml:space="preserve">250,000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listings audited &amp; cleaned</w:t>
            </w:r>
          </w:p>
        </w:tc>
        <w:tc>
          <w:tcPr>
            <w:tcW w:type="dxa" w:w="2256"/>
            <w:tcBorders>
              <w:top w:val="single" w:color="7C3AED" w:sz="28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4"/>
                <w:szCs w:val="34"/>
              </w:rPr>
              <w:t xml:space="preserve">28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MLflow runs tracked</w:t>
            </w:r>
          </w:p>
        </w:tc>
        <w:tc>
          <w:tcPr>
            <w:tcW w:type="dxa" w:w="2256"/>
            <w:tcBorders>
              <w:top w:val="single" w:color="10B981" w:sz="28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4"/>
                <w:szCs w:val="34"/>
              </w:rPr>
              <w:t xml:space="preserve">99.74%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classifier accuracy*</w:t>
            </w:r>
          </w:p>
        </w:tc>
        <w:tc>
          <w:tcPr>
            <w:tcW w:type="dxa" w:w="2258"/>
            <w:tcBorders>
              <w:top w:val="single" w:color="2563EB" w:sz="28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4"/>
                <w:szCs w:val="34"/>
              </w:rPr>
              <w:t xml:space="preserve">₹1.73 L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5-yr price RMSE (MAE 0.58 %)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cantSplit/>
        </w:trPr>
        <w:tc>
          <w:tcPr>
            <w:tcW w:type="dxa" w:w="2256"/>
            <w:tcBorders>
              <w:top w:val="single" w:color="F59E0B" w:sz="28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4"/>
                <w:szCs w:val="34"/>
              </w:rPr>
              <w:t xml:space="preserve">24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business questions answered</w:t>
            </w:r>
          </w:p>
        </w:tc>
        <w:tc>
          <w:tcPr>
            <w:tcW w:type="dxa" w:w="2256"/>
            <w:tcBorders>
              <w:top w:val="single" w:color="EC4899" w:sz="28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4"/>
                <w:szCs w:val="34"/>
              </w:rPr>
              <w:t xml:space="preserve">5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add-on analytics models</w:t>
            </w:r>
          </w:p>
        </w:tc>
        <w:tc>
          <w:tcPr>
            <w:tcW w:type="dxa" w:w="2256"/>
            <w:tcBorders>
              <w:top w:val="single" w:color="EF4444" w:sz="28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4"/>
                <w:szCs w:val="34"/>
              </w:rPr>
              <w:t xml:space="preserve">93.0%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accuracy with hidden market noise</w:t>
            </w:r>
          </w:p>
        </w:tc>
        <w:tc>
          <w:tcPr>
            <w:tcW w:type="dxa" w:w="2258"/>
            <w:tcBorders>
              <w:top w:val="single" w:color="64748B" w:sz="28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4"/>
                <w:szCs w:val="34"/>
              </w:rPr>
              <w:t xml:space="preserve">87.2%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accuracy with no price features</w:t>
            </w:r>
          </w:p>
        </w:tc>
      </w:tr>
    </w:tbl>
    <w:p>
      <w:pPr>
        <w:spacing w:after="160" w:line="288" w:lineRule="auto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*On a rule-derived label — see Section 5. The document reports the honest, noise-adjusted figures next to the headline ones on purpose.</w:t>
      </w:r>
    </w:p>
    <w:p>
      <w:pPr>
        <w:pStyle w:val="Heading2"/>
      </w:pPr>
      <w:r>
        <w:rPr>
          <w:rFonts w:ascii="Arial" w:cs="Arial" w:eastAsia="Arial" w:hAnsi="Arial"/>
        </w:rPr>
        <w:t xml:space="preserve">The 30-second summary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Problem:</w:t>
      </w:r>
      <w:r>
        <w:rPr>
          <w:rFonts w:ascii="Arial" w:cs="Arial" w:eastAsia="Arial" w:hAnsi="Arial"/>
        </w:rPr>
        <w:t xml:space="preserve"> an investor looking at a listing needs a verdict (</w:t>
      </w:r>
      <w:r>
        <w:rPr>
          <w:rFonts w:ascii="Arial" w:cs="Arial" w:eastAsia="Arial" w:hAnsi="Arial"/>
          <w:i/>
          <w:iCs/>
        </w:rPr>
        <w:t xml:space="preserve">good / not good</w:t>
      </w:r>
      <w:r>
        <w:rPr>
          <w:rFonts w:ascii="Arial" w:cs="Arial" w:eastAsia="Arial" w:hAnsi="Arial"/>
        </w:rPr>
        <w:t xml:space="preserve">) and a 5-year value estimate — with a reason, not just a number.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Approach:</w:t>
      </w:r>
      <w:r>
        <w:rPr>
          <w:rFonts w:ascii="Arial" w:cs="Arial" w:eastAsia="Arial" w:hAnsi="Arial"/>
        </w:rPr>
        <w:t xml:space="preserve"> audit and clean 250k listings → engineer 9 features → build transparent rule-based targets → train three models per task → track all runs in MLflow → serve through a Streamlit app.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Differentiator:</w:t>
      </w:r>
      <w:r>
        <w:rPr>
          <w:rFonts w:ascii="Arial" w:cs="Arial" w:eastAsia="Arial" w:hAnsi="Arial"/>
        </w:rPr>
        <w:t xml:space="preserve"> an </w:t>
      </w:r>
      <w:r>
        <w:rPr>
          <w:rFonts w:ascii="Arial" w:cs="Arial" w:eastAsia="Arial" w:hAnsi="Arial"/>
          <w:b/>
          <w:bCs/>
        </w:rPr>
        <w:t xml:space="preserve">Insight Lab</w:t>
      </w:r>
      <w:r>
        <w:rPr>
          <w:rFonts w:ascii="Arial" w:cs="Arial" w:eastAsia="Arial" w:hAnsi="Arial"/>
        </w:rPr>
        <w:t xml:space="preserve"> on top of the two production models adds segmentation, anomaly detection, similarity search, Monte Carlo risk simulation and a counterfactual “what would change the verdict?” engine.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Integrity:</w:t>
      </w:r>
      <w:r>
        <w:rPr>
          <w:rFonts w:ascii="Arial" w:cs="Arial" w:eastAsia="Arial" w:hAnsi="Arial"/>
        </w:rPr>
        <w:t xml:space="preserve"> two independent honesty checks (feature ablation and hidden market noise) and an explicit limitations section show where the scores come from and what they do not mean.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Skills demonstrated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226"/>
      </w:tblGrid>
      <w:tr>
        <w:trPr>
          <w:cantSplit/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in this project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quality &amp; cleaning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Completeness / uniqueness / logic audit; 116,304 impossible floor records repaired; ₹/sq ft recomputed; outliers flagged, not deleted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pandas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domain features (infrastructure score, city-relative price, space per BHK…) in one shared module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pandas, NumPy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Statistics &amp; EDA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brief + 4 investment questions; Kruskal-Wallis, Mann-Whitney, χ², Pearson / Spearman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SciPy, Plotly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Supervised ML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Three models per task, stratified split, leakage control, cross-fitted target encoding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scikit-learn, XGBoost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MLOps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experiments, 28 runs, model registry with a 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champion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alias, deployable pipelines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MLflow, joblib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Unsupervised &amp; simulation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KMeans + PCA, Isolation Forest, KNN, Monte Carlo (GBM), counterfactual search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scikit-learn, NumPy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Explainability &amp; rigour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 importance, price-feature ablation, noise-robustness test, error analysis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XGBoost, Plotly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&amp; engineering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Four-tab Streamlit app, caching, no train/serve skew, presets, CSV export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Streamlit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Findings stated with effect sizes; limitations and next steps written openly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200" w:before="420"/>
      </w:pPr>
      <w:r>
        <w:rPr>
          <w:rFonts w:ascii="Arial" w:cs="Arial" w:eastAsia="Arial" w:hAnsi="Arial"/>
        </w:rPr>
        <w:t xml:space="preserve">2. Project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Business problem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Buying property is one of the largest financial decisions most people make, yet listings arrive as a flat list of attributes. An investor needs two answers before committing capital:</w:t>
      </w:r>
    </w:p>
    <w:p>
      <w:pPr>
        <w:pStyle w:val="ListParagraph"/>
        <w:numPr>
          <w:ilvl w:val="0"/>
          <w:numId w:val="3"/>
        </w:numPr>
        <w:spacing w:after="90" w:line="276" w:lineRule="auto"/>
      </w:pPr>
      <w:r>
        <w:rPr>
          <w:rFonts w:ascii="Arial" w:cs="Arial" w:eastAsia="Arial" w:hAnsi="Arial"/>
          <w:b/>
          <w:bCs/>
        </w:rPr>
        <w:t xml:space="preserve">Is this a Good Investment?</w:t>
      </w:r>
      <w:r>
        <w:rPr>
          <w:rFonts w:ascii="Arial" w:cs="Arial" w:eastAsia="Arial" w:hAnsi="Arial"/>
        </w:rPr>
        <w:t xml:space="preserve"> — a binary classification with a probability, so the verdict can be trusted or challenged.</w:t>
      </w:r>
    </w:p>
    <w:p>
      <w:pPr>
        <w:pStyle w:val="ListParagraph"/>
        <w:numPr>
          <w:ilvl w:val="0"/>
          <w:numId w:val="3"/>
        </w:numPr>
        <w:spacing w:after="90" w:line="276" w:lineRule="auto"/>
      </w:pPr>
      <w:r>
        <w:rPr>
          <w:rFonts w:ascii="Arial" w:cs="Arial" w:eastAsia="Arial" w:hAnsi="Arial"/>
          <w:b/>
          <w:bCs/>
        </w:rPr>
        <w:t xml:space="preserve">What will this property be worth in 5 years?</w:t>
      </w:r>
      <w:r>
        <w:rPr>
          <w:rFonts w:ascii="Arial" w:cs="Arial" w:eastAsia="Arial" w:hAnsi="Arial"/>
        </w:rPr>
        <w:t xml:space="preserve"> — a regression estimate in ₹ Lakhs with a stated error band.</w:t>
      </w:r>
    </w:p>
    <w:p>
      <w:pPr>
        <w:pStyle w:val="Heading2"/>
      </w:pPr>
      <w:r>
        <w:rPr>
          <w:rFonts w:ascii="Arial" w:cs="Arial" w:eastAsia="Arial" w:hAnsi="Arial"/>
        </w:rPr>
        <w:t xml:space="preserve">2.2 Objectives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</w:rPr>
        <w:t xml:space="preserve">Clean and validate a large, real-world-shaped listing dataset and make the cleaning decisions explicit.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</w:rPr>
        <w:t xml:space="preserve">Answer the 20 questions in the project brief plus four investment questions (price trends, area vs return, safety vs class, infrastructure vs resale).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</w:rPr>
        <w:t xml:space="preserve">Train, compare and register classification and regression models with full experiment tracking.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</w:rPr>
        <w:t xml:space="preserve">Turn the models into a product an investor can use without code — and make the reasoning visible.</w:t>
      </w:r>
    </w:p>
    <w:p>
      <w:pPr>
        <w:pStyle w:val="Heading2"/>
      </w:pPr>
      <w:r>
        <w:rPr>
          <w:rFonts w:ascii="Arial" w:cs="Arial" w:eastAsia="Arial" w:hAnsi="Arial"/>
        </w:rPr>
        <w:t xml:space="preserve">2.3 End-to-end pipeline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1447800"/>
            <wp:effectExtent t="0" r="0" b="0" l="0"/>
            <wp:docPr id="1" name="pipeline" descr="Figure 1 — Five-step pipeline from raw listings to a deployable application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Figure 1 — Five-step pipeline from raw listings to a deployable application</w:t>
      </w:r>
    </w:p>
    <w:p>
      <w:pPr>
        <w:pStyle w:val="Heading2"/>
      </w:pPr>
      <w:r>
        <w:rPr>
          <w:rFonts w:ascii="Arial" w:cs="Arial" w:eastAsia="Arial" w:hAnsi="Arial"/>
        </w:rPr>
        <w:t xml:space="preserve">2.4 Deliverables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cantSplit/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Notebook</w:t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Audit, cleaning, feature engineering, 24 EDA questions, six models, MLflow tracking, registry, conclusions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real_estate_features.py</w:t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 engineering + target helpers imported by both the notebook and the app (prevents train/serve skew)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app.py</w:t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Streamlit application: Investment Advisor, Insight Lab, Market Explorer, Model &amp; Methodology tabs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Insights.py</w:t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Insight Lab module: segmentation, anomaly, twin-finder, Monte Carlo and counterfactual engines with a branded header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models/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data/</w:t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Champion pipelines (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clf_pipeline.joblib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reg_pipeline.joblib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reference + metadata JSON, cleaned data and a 40,000-row app sample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mlflow.db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mlruns/</w:t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Experiment store — 15 classification and 13 regression runs, registered model versions</w:t>
            </w:r>
          </w:p>
        </w:tc>
      </w:tr>
    </w:tbl>
    <w:p>
      <w:pPr>
        <w:pStyle w:val="Heading1"/>
        <w:spacing w:after="200" w:before="420"/>
      </w:pPr>
      <w:r>
        <w:rPr>
          <w:rFonts w:ascii="Arial" w:cs="Arial" w:eastAsia="Arial" w:hAnsi="Arial"/>
        </w:rPr>
        <w:t xml:space="preserve">3. Methodology</w:t>
      </w:r>
    </w:p>
    <w:p>
      <w:pPr>
        <w:pStyle w:val="Heading2"/>
      </w:pPr>
      <w:r>
        <w:rPr>
          <w:rFonts w:ascii="Arial" w:cs="Arial" w:eastAsia="Arial" w:hAnsi="Arial"/>
        </w:rPr>
        <w:t xml:space="preserve">3.1 Data and quality audit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The source file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india_housing_prices.csv</w:t>
      </w:r>
      <w:r>
        <w:rPr>
          <w:rFonts w:ascii="Arial" w:cs="Arial" w:eastAsia="Arial" w:hAnsi="Arial"/>
        </w:rPr>
        <w:t xml:space="preserve"> holds </w:t>
      </w:r>
      <w:r>
        <w:rPr>
          <w:rFonts w:ascii="Arial" w:cs="Arial" w:eastAsia="Arial" w:hAnsi="Arial"/>
          <w:b/>
          <w:bCs/>
        </w:rPr>
        <w:t xml:space="preserve">250,000 listings × 23 columns</w:t>
      </w:r>
      <w:r>
        <w:rPr>
          <w:rFonts w:ascii="Arial" w:cs="Arial" w:eastAsia="Arial" w:hAnsi="Arial"/>
        </w:rPr>
        <w:t xml:space="preserve"> (196 MB in memory). Before any modelling the data was audited for completeness, uniqueness and logical consistency — not only for nulls.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found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Missing values / duplicates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Median / mode imputation and 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drop_duplicates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kept in the code (0 duplicates and 0 missing found)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pipeline stays reusable on messier production 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Floor_No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 &gt; 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Total_Floors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116,304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 rows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Raise 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Total_Floors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to at least 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Floor_No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flat on floor 22 implies a building of at least 22 floors; altering the floor would destroy information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Price_per_SqFt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 stored with 2 decimals in lakhs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Recompute in ₹ per sq ft from price and size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Rounding error of up to ±5 % otherwise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Price/sq ft outliers (19,723 rows, 7.9 %)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Flag with IQR fences; do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delete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Values are plausible (small flats at the top of the range); trees are robust and 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Log_PPSF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tames influence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3.2 Feature engineering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Nine features were added in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real_estate_features.py</w:t>
      </w:r>
      <w:r>
        <w:rPr>
          <w:rFonts w:ascii="Arial" w:cs="Arial" w:eastAsia="Arial" w:hAnsi="Arial"/>
        </w:rPr>
        <w:t xml:space="preserve">, the single source of truth shared with the app.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Price_per_SqFt_INR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Price (₹) ÷ built-up area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Infrastructure_Score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 (0–100)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40 % schools + 30 % hospitals + 30 % public-transport access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School_Density_Score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Schools nearby ÷ the city's average number of schools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Amenity_Count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of amenities (gym, pool, clubhouse, garden, playground)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Floor_Ratio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Floor_No / Total_Floors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0 is ground floor, 1 is top floor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Sqft_per_BHK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Space efficiency per bedroom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City_Median_PPSF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Price_vs_City_Median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 this listing cheap or expensive for its city?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3.3 Target construction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The dataset contains </w:t>
      </w:r>
      <w:r>
        <w:rPr>
          <w:rFonts w:ascii="Arial" w:cs="Arial" w:eastAsia="Arial" w:hAnsi="Arial"/>
          <w:b/>
          <w:bCs/>
        </w:rPr>
        <w:t xml:space="preserve">no price history, rents or realised returns</w:t>
      </w:r>
      <w:r>
        <w:rPr>
          <w:rFonts w:ascii="Arial" w:cs="Arial" w:eastAsia="Arial" w:hAnsi="Arial"/>
        </w:rPr>
        <w:t xml:space="preserve">, so both targets are built from transparent domain rules. This choice shapes how every result should be read (Section 5).</w:t>
      </w:r>
    </w:p>
    <w:p>
      <w:pPr>
        <w:pStyle w:val="Heading3"/>
      </w:pPr>
      <w:r>
        <w:rPr>
          <w:rFonts w:ascii="Arial" w:cs="Arial" w:eastAsia="Arial" w:hAnsi="Arial"/>
        </w:rPr>
        <w:t xml:space="preserve">Regression target — Future_Price_5Y</w:t>
      </w:r>
    </w:p>
    <w:p>
      <w:pPr>
        <w:spacing w:after="120" w:line="288" w:lineRule="auto"/>
      </w:pP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Future = Price × (1 + r)^5</w:t>
      </w:r>
      <w:r>
        <w:rPr>
          <w:rFonts w:ascii="Arial" w:cs="Arial" w:eastAsia="Arial" w:hAnsi="Arial"/>
        </w:rPr>
        <w:t xml:space="preserve">, where the annual growth rate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r</w:t>
      </w:r>
      <w:r>
        <w:rPr>
          <w:rFonts w:ascii="Arial" w:cs="Arial" w:eastAsia="Arial" w:hAnsi="Arial"/>
        </w:rPr>
        <w:t xml:space="preserve"> is feature-based: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7C3AED" w:sz="36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Growth-rate rule</w:t>
            </w:r>
          </w:p>
          <w:p>
            <w:pPr>
              <w:spacing w:after="50" w:line="270" w:lineRule="auto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  <w:shd w:fill="EDE9FE" w:val="clear"/>
              </w:rPr>
              <w:t xml:space="preserve">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base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city price-tier premium (0–2 %)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property-type premium (Villa +0.5 %, House +0.25 %)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±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infrastructure adjustment (±1 %)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under-construction uplift (+1 %)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−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age penalty (up to −1 %), clipped to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4 %–12 %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The resulting assumed growth ranges from 4.3 % to 10.4 % (median 7.3 %), a typical 5-year multiple of </w:t>
      </w:r>
      <w:r>
        <w:rPr>
          <w:rFonts w:ascii="Arial" w:cs="Arial" w:eastAsia="Arial" w:hAnsi="Arial"/>
          <w:b/>
          <w:bCs/>
        </w:rPr>
        <w:t xml:space="preserve">1.43×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Classification target — Good_Investment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A five-point score, one point per rule; a listing is </w:t>
      </w:r>
      <w:r>
        <w:rPr>
          <w:rFonts w:ascii="Arial" w:cs="Arial" w:eastAsia="Arial" w:hAnsi="Arial"/>
          <w:b/>
          <w:bCs/>
        </w:rPr>
        <w:t xml:space="preserve">good if it scores 3 or more</w:t>
      </w:r>
      <w:r>
        <w:rPr>
          <w:rFonts w:ascii="Arial" w:cs="Arial" w:eastAsia="Arial" w:hAnsi="Arial"/>
        </w:rPr>
        <w:t xml:space="preserve">. 54.1 % of listings are labelled good — a near-balanced target, so accuracy is meaningful and no resampling is needed.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226"/>
      </w:tblGrid>
      <w:tr>
        <w:trPr>
          <w:cantSplit/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Investment logic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Price per sq ft ≤ city median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Good value for the location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 growth rate ≥ dataset median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Good appreciation outlook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BHK ≥ 3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Family-size demand and resale liquidity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Ready to move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construction risk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Infrastructure score ≥ dataset median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Livability and future demand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3.4 Preprocessing and leakage control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</w:rPr>
        <w:t xml:space="preserve">One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ColumnTransformer</w:t>
      </w:r>
      <w:r>
        <w:rPr>
          <w:rFonts w:ascii="Arial" w:cs="Arial" w:eastAsia="Arial" w:hAnsi="Arial"/>
        </w:rPr>
        <w:t xml:space="preserve"> is used at training time </w:t>
      </w:r>
      <w:r>
        <w:rPr>
          <w:rFonts w:ascii="Arial" w:cs="Arial" w:eastAsia="Arial" w:hAnsi="Arial"/>
          <w:b/>
          <w:bCs/>
        </w:rPr>
        <w:t xml:space="preserve">and</w:t>
      </w:r>
      <w:r>
        <w:rPr>
          <w:rFonts w:ascii="Arial" w:cs="Arial" w:eastAsia="Arial" w:hAnsi="Arial"/>
        </w:rPr>
        <w:t xml:space="preserve"> inside the app: 17 numeric columns →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StandardScaler</w:t>
      </w:r>
      <w:r>
        <w:rPr>
          <w:rFonts w:ascii="Arial" w:cs="Arial" w:eastAsia="Arial" w:hAnsi="Arial"/>
        </w:rPr>
        <w:t xml:space="preserve">; 9 low-cardinality categoricals →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OneHotEncoder</w:t>
      </w:r>
      <w:r>
        <w:rPr>
          <w:rFonts w:ascii="Arial" w:cs="Arial" w:eastAsia="Arial" w:hAnsi="Arial"/>
        </w:rPr>
        <w:t xml:space="preserve">; 1 high-cardinality column (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Locality</w:t>
      </w:r>
      <w:r>
        <w:rPr>
          <w:rFonts w:ascii="Arial" w:cs="Arial" w:eastAsia="Arial" w:hAnsi="Arial"/>
        </w:rPr>
        <w:t xml:space="preserve">, ~500 values) → cross-fitted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TargetEncoder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</w:rPr>
        <w:t xml:space="preserve">Target-derived columns —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Annual_Growth_Rate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Future_Price_5Y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Investment_Score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Good_Investment</w:t>
      </w:r>
      <w:r>
        <w:rPr>
          <w:rFonts w:ascii="Arial" w:cs="Arial" w:eastAsia="Arial" w:hAnsi="Arial"/>
        </w:rPr>
        <w:t xml:space="preserve"> — are </w:t>
      </w:r>
      <w:r>
        <w:rPr>
          <w:rFonts w:ascii="Arial" w:cs="Arial" w:eastAsia="Arial" w:hAnsi="Arial"/>
          <w:b/>
          <w:bCs/>
        </w:rPr>
        <w:t xml:space="preserve">excluded from model inputs</w:t>
      </w:r>
      <w:r>
        <w:rPr>
          <w:rFonts w:ascii="Arial" w:cs="Arial" w:eastAsia="Arial" w:hAnsi="Arial"/>
        </w:rPr>
        <w:t xml:space="preserve"> so the models cannot read the answer.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</w:rPr>
        <w:t xml:space="preserve">Split: 80 / 20, stratified on the label → 200,000 training and 50,000 test rows; positive rate 0.541 in both.</w:t>
      </w:r>
    </w:p>
    <w:p>
      <w:pPr>
        <w:pStyle w:val="Heading2"/>
      </w:pPr>
      <w:r>
        <w:rPr>
          <w:rFonts w:ascii="Arial" w:cs="Arial" w:eastAsia="Arial" w:hAnsi="Arial"/>
        </w:rPr>
        <w:t xml:space="preserve">3.5 Model development and experiment tracking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300"/>
        <w:gridCol w:w="2026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Models compared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Good_Investment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Logistic Regression · Random Forest · XGBoost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Accuracy, Precision, Recall, F1, ROC-AUC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Regression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ourier New" w:cs="Courier New" w:eastAsia="Courier New" w:hAnsi="Courier New"/>
                <w:color w:val="4C1D95"/>
                <w:sz w:val="17"/>
                <w:szCs w:val="17"/>
                <w:shd w:fill="EDE9FE" w:val="clear"/>
              </w:rPr>
              <w:t xml:space="preserve">Future_Price_5Y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(₹ L)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Linear Regression · Random Forest · XGBoost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RMSE, MAE, R²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MLflow:</w:t>
      </w:r>
      <w:r>
        <w:rPr>
          <w:rFonts w:ascii="Arial" w:cs="Arial" w:eastAsia="Arial" w:hAnsi="Arial"/>
        </w:rPr>
        <w:t xml:space="preserve"> local SQLite store, two experiments (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RealEstate_Classification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RealEstate_Regression</w:t>
      </w:r>
      <w:r>
        <w:rPr>
          <w:rFonts w:ascii="Arial" w:cs="Arial" w:eastAsia="Arial" w:hAnsi="Arial"/>
        </w:rPr>
        <w:t xml:space="preserve">); each run logs parameters, test metrics, training time and the full pipeline artifact.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Registry:</w:t>
      </w:r>
      <w:r>
        <w:rPr>
          <w:rFonts w:ascii="Arial" w:cs="Arial" w:eastAsia="Arial" w:hAnsi="Arial"/>
        </w:rPr>
        <w:t xml:space="preserve"> the best model per task is registered and promoted with the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champion</w:t>
      </w:r>
      <w:r>
        <w:rPr>
          <w:rFonts w:ascii="Arial" w:cs="Arial" w:eastAsia="Arial" w:hAnsi="Arial"/>
        </w:rPr>
        <w:t xml:space="preserve"> alias; the app loads the same pipelines (preprocessing + model in one object).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28 runs</w:t>
      </w:r>
      <w:r>
        <w:rPr>
          <w:rFonts w:ascii="Arial" w:cs="Arial" w:eastAsia="Arial" w:hAnsi="Arial"/>
        </w:rPr>
        <w:t xml:space="preserve"> (15 classification, 13 regression) were tracked, including the ablation and noise-robustness variants.</w:t>
      </w:r>
    </w:p>
    <w:p>
      <w:pPr>
        <w:pStyle w:val="Heading2"/>
      </w:pPr>
      <w:r>
        <w:rPr>
          <w:rFonts w:ascii="Arial" w:cs="Arial" w:eastAsia="Arial" w:hAnsi="Arial"/>
        </w:rPr>
        <w:t xml:space="preserve">3.6 Application architecture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The app reproduces the notebook's inference path exactly: form →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engineer_features</w:t>
      </w:r>
      <w:r>
        <w:rPr>
          <w:rFonts w:ascii="Arial" w:cs="Arial" w:eastAsia="Arial" w:hAnsi="Arial"/>
        </w:rPr>
        <w:t xml:space="preserve"> →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add_targets</w:t>
      </w:r>
      <w:r>
        <w:rPr>
          <w:rFonts w:ascii="Arial" w:cs="Arial" w:eastAsia="Arial" w:hAnsi="Arial"/>
        </w:rPr>
        <w:t xml:space="preserve"> → champion pipelines. The Insight Lab then adds five analytical modules around the same property.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architecture" descr="Figure 2 — Inference path (top) and Insight Lab add-on models (bottom)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Figure 2 — Inference path (top) and Insight Lab add-on models (bottom)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tab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user gets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🔮 Investment Advisor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Property form with example presets → verdict, probability gauge, 5-year value with ± RMSE band, price what-if curve, five-criteria checklist, comparable listings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🧪 Insight Lab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Property DNA, twin finder, live Monte Carlo risk simulator and counterfactual engine for the analysed property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📊 Market Explorer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 filters → KPIs, city × type heatmap, treemap, vintage and projection trends, opportunity quadrant, locality leaderboard, CSV download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🧠 Model &amp; Methodology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 metrics and comparison tables, feature importance, ablation result, how-it-works flow and limitations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3.7 Insight Lab — the five add-on models</w:t>
      </w:r>
    </w:p>
    <w:p>
      <w:pPr>
        <w:keepNext/>
        <w:spacing w:after="120" w:line="288" w:lineRule="auto"/>
      </w:pPr>
      <w:r>
        <w:rPr>
          <w:rFonts w:ascii="Arial" w:cs="Arial" w:eastAsia="Arial" w:hAnsi="Arial"/>
        </w:rPr>
        <w:t xml:space="preserve">These modules train in seconds at start-up on the 40,000-row sample (cached) and use only columns already present in the data. The twin finder deliberately </w:t>
      </w:r>
      <w:r>
        <w:rPr>
          <w:rFonts w:ascii="Arial" w:cs="Arial" w:eastAsia="Arial" w:hAnsi="Arial"/>
          <w:b/>
          <w:bCs/>
        </w:rPr>
        <w:t xml:space="preserve">ignores price</w:t>
      </w:r>
      <w:r>
        <w:rPr>
          <w:rFonts w:ascii="Arial" w:cs="Arial" w:eastAsia="Arial" w:hAnsi="Arial"/>
        </w:rPr>
        <w:t xml:space="preserve"> when matching, so its fair-price band is not circular.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000"/>
        <w:gridCol w:w="2900"/>
        <w:gridCol w:w="2376"/>
      </w:tblGrid>
      <w:tr>
        <w:trPr>
          <w:cantSplit/>
          <w:tblHeader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Technique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 works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the user sees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Property DNA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KMeans (k = 5) + PCA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Clusters listings on 7 standardised features (log price, log size, BHK, log ₹/sq ft, infrastructure, growth, age); PCA flattens to 2-D; segments named by their centroids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Market map with a ⭐ for the property, auto-named segment, percentile radar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Typicality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Isolation Forest (200 trees)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Scores how unusual the listing is against the market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“More typical than X % of listings”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Twin finder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KNN (30 neighbours)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Matches on size, BHK, infrastructure, growth, age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price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Fair ₹/sq ft band, implied fair price, twin table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Risk simulator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Monte Carlo (geometric Brownian motion, 4,000 paths)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Drift = regressor forecast; volatility calibrated from the regressor's RMSE; sliders for holding period, volatility, growth shock, FD rate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Fan chart, value histogram, chance of loss, odds of beating a fixed deposit, worst-5 % case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Counterfactual engine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Re-scoring with the real classifier and regressor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Applies each lever (price cut, ready-to-move, transit, schools, amenities…) and a greedy search for the best 4-step path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 probability bar chart and a waterfall to a better verdict</w:t>
            </w:r>
          </w:p>
        </w:tc>
      </w:tr>
    </w:tbl>
    <w:p>
      <w:pPr>
        <w:spacing w:after="100"/>
      </w:pP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montecarlo" descr="Figure 3 — Illustration of the risk simulator (₹150 L property, 1.43× forecast, ₹1.73 L RMSE; same formula as the app, not model output)" title="montecar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Figure 3 — Illustration of the risk simulator (₹150 L property, 1.43× forecast, ₹1.73 L RMSE; same formula as the app, not model output)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Findings</w:t>
      </w:r>
    </w:p>
    <w:p>
      <w:pPr>
        <w:pStyle w:val="Heading2"/>
      </w:pPr>
      <w:r>
        <w:rPr>
          <w:rFonts w:ascii="Arial" w:cs="Arial" w:eastAsia="Arial" w:hAnsi="Arial"/>
        </w:rPr>
        <w:t xml:space="preserve">4.1 Headline findings</w:t>
      </w:r>
    </w:p>
    <w:p>
      <w:pPr>
        <w:pStyle w:val="ListParagraph"/>
        <w:numPr>
          <w:ilvl w:val="0"/>
          <w:numId w:val="4"/>
        </w:numPr>
        <w:spacing w:after="90" w:line="276" w:lineRule="auto"/>
      </w:pPr>
      <w:r>
        <w:rPr>
          <w:rFonts w:ascii="Arial" w:cs="Arial" w:eastAsia="Arial" w:hAnsi="Arial"/>
          <w:b/>
          <w:bCs/>
        </w:rPr>
        <w:t xml:space="preserve">The raw market is “flat”.</w:t>
      </w:r>
      <w:r>
        <w:rPr>
          <w:rFonts w:ascii="Arial" w:cs="Arial" w:eastAsia="Arial" w:hAnsi="Arial"/>
        </w:rPr>
        <w:t xml:space="preserve"> Price correlates with size at only r = −0.003; state, city, facing, furnishing, parking and amenities each move price by about 3 % or less.</w:t>
      </w:r>
    </w:p>
    <w:p>
      <w:pPr>
        <w:pStyle w:val="ListParagraph"/>
        <w:numPr>
          <w:ilvl w:val="0"/>
          <w:numId w:val="4"/>
        </w:numPr>
        <w:spacing w:after="90" w:line="276" w:lineRule="auto"/>
      </w:pPr>
      <w:r>
        <w:rPr>
          <w:rFonts w:ascii="Arial" w:cs="Arial" w:eastAsia="Arial" w:hAnsi="Arial"/>
          <w:b/>
          <w:bCs/>
        </w:rPr>
        <w:t xml:space="preserve">Investment quality comes from value, readiness and infrastructure</w:t>
      </w:r>
      <w:r>
        <w:rPr>
          <w:rFonts w:ascii="Arial" w:cs="Arial" w:eastAsia="Arial" w:hAnsi="Arial"/>
        </w:rPr>
        <w:t xml:space="preserve"> — not cosmetics. Facing, furnishing, owner type, parking and security share only 0.6 % of the classifier's importance.</w:t>
      </w:r>
    </w:p>
    <w:p>
      <w:pPr>
        <w:pStyle w:val="ListParagraph"/>
        <w:numPr>
          <w:ilvl w:val="0"/>
          <w:numId w:val="4"/>
        </w:numPr>
        <w:spacing w:after="90" w:line="276" w:lineRule="auto"/>
      </w:pPr>
      <w:r>
        <w:rPr>
          <w:rFonts w:ascii="Arial" w:cs="Arial" w:eastAsia="Arial" w:hAnsi="Arial"/>
          <w:b/>
          <w:bCs/>
        </w:rPr>
        <w:t xml:space="preserve">Larger homes are the better value play</w:t>
      </w:r>
      <w:r>
        <w:rPr>
          <w:rFonts w:ascii="Arial" w:cs="Arial" w:eastAsia="Arial" w:hAnsi="Arial"/>
        </w:rPr>
        <w:t xml:space="preserve"> (lower ₹/sq ft against the city median); </w:t>
      </w:r>
      <w:r>
        <w:rPr>
          <w:rFonts w:ascii="Arial" w:cs="Arial" w:eastAsia="Arial" w:hAnsi="Arial"/>
          <w:b/>
          <w:bCs/>
        </w:rPr>
        <w:t xml:space="preserve">infrastructure and transport are the growth play</w:t>
      </w:r>
      <w:r>
        <w:rPr>
          <w:rFonts w:ascii="Arial" w:cs="Arial" w:eastAsia="Arial" w:hAnsi="Arial"/>
        </w:rPr>
        <w:t xml:space="preserve"> (higher projected appreciation).</w:t>
      </w:r>
    </w:p>
    <w:p>
      <w:pPr>
        <w:pStyle w:val="ListParagraph"/>
        <w:numPr>
          <w:ilvl w:val="0"/>
          <w:numId w:val="4"/>
        </w:numPr>
        <w:spacing w:after="90" w:line="276" w:lineRule="auto"/>
      </w:pPr>
      <w:r>
        <w:rPr>
          <w:rFonts w:ascii="Arial" w:cs="Arial" w:eastAsia="Arial" w:hAnsi="Arial"/>
          <w:b/>
          <w:bCs/>
        </w:rPr>
        <w:t xml:space="preserve">The classifier is not just recomputing a price comparison:</w:t>
      </w:r>
      <w:r>
        <w:rPr>
          <w:rFonts w:ascii="Arial" w:cs="Arial" w:eastAsia="Arial" w:hAnsi="Arial"/>
        </w:rPr>
        <w:t xml:space="preserve"> with every price feature removed it still reaches 87.2 % accuracy.</w:t>
      </w:r>
    </w:p>
    <w:p>
      <w:pPr>
        <w:pStyle w:val="ListParagraph"/>
        <w:numPr>
          <w:ilvl w:val="0"/>
          <w:numId w:val="4"/>
        </w:numPr>
        <w:spacing w:after="90" w:line="276" w:lineRule="auto"/>
      </w:pPr>
      <w:r>
        <w:rPr>
          <w:rFonts w:ascii="Arial" w:cs="Arial" w:eastAsia="Arial" w:hAnsi="Arial"/>
          <w:b/>
          <w:bCs/>
        </w:rPr>
        <w:t xml:space="preserve">Realistic expectation is ~93 %, not ~99.7 %:</w:t>
      </w:r>
      <w:r>
        <w:rPr>
          <w:rFonts w:ascii="Arial" w:cs="Arial" w:eastAsia="Arial" w:hAnsi="Arial"/>
        </w:rPr>
        <w:t xml:space="preserve"> once hidden market noise is added, accuracy settles at 93.0 % (AUC 0.986).</w:t>
      </w:r>
    </w:p>
    <w:p>
      <w:pPr>
        <w:pStyle w:val="Heading2"/>
      </w:pPr>
      <w:r>
        <w:rPr>
          <w:rFonts w:ascii="Arial" w:cs="Arial" w:eastAsia="Arial" w:hAnsi="Arial"/>
        </w:rPr>
        <w:t xml:space="preserve">4.2 Exploratory analysis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All 24 questions were answered with interactive Plotly charts in the notebook. The most decision-relevant results are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 distribution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₹10 L – ₹500 L, median ₹253.9 L, skewness 0.01 — essentially uniform rather than the right-skewed shape of real housing markets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 vs price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Pearson r = −0.003 (Spearman −0.011). Because price does not rise with area, price per sq ft falls sharply with size (r = −0.61)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 / sq ft by type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Apartment ₹9,245 · House ₹9,305 · Villa ₹9,190 — a 0.6 % gap (Kruskal-Wallis p = 0.0186: significant but practically negligible)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State and city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Karnataka is the priciest state per sq ft (₹13,252) and Punjab the cheapest (₹12,931) — a 2.5 % spread; city averages differ by only 3.0 %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Outliers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19,723 listings (7.9 %) are ₹/sq ft outliers, all on the high side; size has none. Flagged and retained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Schools / hospitals vs price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 ≈ 0.000 for both — no price premium today, so infrastructure is modelled as a growth driver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Furnishing, facing, parking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Gaps of 0.3 %, 0.9 % and 0.1 %; none statistically significant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Amenities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Amenity count vs ₹/sq ft r = +0.002; largest single effect (Gym) +0.75 % — within noise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 trend by vintage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consistent trend: median ₹/sq ft moves ~9 % between vintages with no persistent direction, so there is nothing to extrapolate in time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Mix of listings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BHK split is even (≈ 20 % each); owner type and availability are balanced, so no category is data-starved</w:t>
            </w:r>
          </w:p>
        </w:tc>
      </w:tr>
    </w:tbl>
    <w:p>
      <w:pPr>
        <w:spacing w:after="100"/>
      </w:pPr>
    </w:p>
    <w:p>
      <w:pPr>
        <w:keepNext/>
        <w:spacing w:after="60" w:before="100"/>
        <w:jc w:val="center"/>
      </w:pPr>
      <w:r>
        <w:drawing>
          <wp:inline distT="0" distB="0" distL="0" distR="0">
            <wp:extent cx="5334000" cy="2162175"/>
            <wp:effectExtent t="0" r="0" b="0" l="0"/>
            <wp:docPr id="1" name="flat_market" descr="Figure 4 — Gap between the highest and lowest category for each raw attribute" title="flat_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Figure 4 — Gap between the highest and lowest category for each raw attribute</w:t>
      </w:r>
    </w:p>
    <w:p>
      <w:pPr>
        <w:pStyle w:val="Heading2"/>
      </w:pPr>
      <w:r>
        <w:rPr>
          <w:rFonts w:ascii="Arial" w:cs="Arial" w:eastAsia="Arial" w:hAnsi="Arial"/>
        </w:rPr>
        <w:t xml:space="preserve">4.3 What actually drives investment quality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Although current price barely varies, the </w:t>
      </w:r>
      <w:r>
        <w:rPr>
          <w:rFonts w:ascii="Arial" w:cs="Arial" w:eastAsia="Arial" w:hAnsi="Arial"/>
          <w:b/>
          <w:bCs/>
        </w:rPr>
        <w:t xml:space="preserve">investment label and projected return</w:t>
      </w:r>
      <w:r>
        <w:rPr>
          <w:rFonts w:ascii="Arial" w:cs="Arial" w:eastAsia="Arial" w:hAnsi="Arial"/>
        </w:rPr>
        <w:t xml:space="preserve"> respond strongly to infrastructure, transport and size — because those are the factors the investment rules reward.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drivers" descr="Figure 5 — Share of listings rated Good Investment by transport access, infrastructure quartile and home size" title="dri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Figure 5 — Share of listings rated Good Investment by transport access, infrastructure quartile and home size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Transport:</w:t>
      </w:r>
      <w:r>
        <w:rPr>
          <w:rFonts w:ascii="Arial" w:cs="Arial" w:eastAsia="Arial" w:hAnsi="Arial"/>
        </w:rPr>
        <w:t xml:space="preserve"> the Good-Investment rate climbs 41.5 % → 53.9 % → 66.7 % from Low to High access, with projected 5-year return rising from 41.4 % to 44.1 %.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Infrastructure:</w:t>
      </w:r>
      <w:r>
        <w:rPr>
          <w:rFonts w:ascii="Arial" w:cs="Arial" w:eastAsia="Arial" w:hAnsi="Arial"/>
        </w:rPr>
        <w:t xml:space="preserve"> bottom-quartile locations are good 27.7 % of the time versus 80.2 % for the top quartile; top-decile locations are projected to appreciate 46.6 % against 38.9 % for the bottom decile (r = +0.311).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Size:</w:t>
      </w:r>
      <w:r>
        <w:rPr>
          <w:rFonts w:ascii="Arial" w:cs="Arial" w:eastAsia="Arial" w:hAnsi="Arial"/>
        </w:rPr>
        <w:t xml:space="preserve"> the Good rate rises from 39 % (smallest decile) to 69 % (largest). This is a </w:t>
      </w:r>
      <w:r>
        <w:rPr>
          <w:rFonts w:ascii="Arial" w:cs="Arial" w:eastAsia="Arial" w:hAnsi="Arial"/>
          <w:b/>
          <w:bCs/>
        </w:rPr>
        <w:t xml:space="preserve">value effect, not a growth effect</w:t>
      </w:r>
      <w:r>
        <w:rPr>
          <w:rFonts w:ascii="Arial" w:cs="Arial" w:eastAsia="Arial" w:hAnsi="Arial"/>
        </w:rPr>
        <w:t xml:space="preserve"> — area vs projected return is r = −0.003.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Safety proxy:</w:t>
      </w:r>
      <w:r>
        <w:rPr>
          <w:rFonts w:ascii="Arial" w:cs="Arial" w:eastAsia="Arial" w:hAnsi="Arial"/>
        </w:rPr>
        <w:t xml:space="preserve"> crime rate is not in the dataset. The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Security</w:t>
      </w:r>
      <w:r>
        <w:rPr>
          <w:rFonts w:ascii="Arial" w:cs="Arial" w:eastAsia="Arial" w:hAnsi="Arial"/>
        </w:rPr>
        <w:t xml:space="preserve"> flag has no meaningful effect (54.2 % → 53.9 %, χ² p = 0.273), as expected, because it is not a label component.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City trade-off:</w:t>
      </w:r>
      <w:r>
        <w:rPr>
          <w:rFonts w:ascii="Arial" w:cs="Arial" w:eastAsia="Arial" w:hAnsi="Arial"/>
        </w:rPr>
        <w:t xml:space="preserve"> city Good-Investment rates run from 38.3 % to 70.4 % (Guwahati highest); high-tier cities' growth premium is partly offset by higher entry price per sq ft.</w:t>
      </w:r>
    </w:p>
    <w:p>
      <w:pPr>
        <w:pStyle w:val="Heading2"/>
      </w:pPr>
      <w:r>
        <w:rPr>
          <w:rFonts w:ascii="Arial" w:cs="Arial" w:eastAsia="Arial" w:hAnsi="Arial"/>
        </w:rPr>
        <w:t xml:space="preserve">4.4 Model performance</w:t>
      </w:r>
    </w:p>
    <w:p>
      <w:pPr>
        <w:pStyle w:val="Heading3"/>
      </w:pPr>
      <w:r>
        <w:rPr>
          <w:rFonts w:ascii="Arial" w:cs="Arial" w:eastAsia="Arial" w:hAnsi="Arial"/>
        </w:rPr>
        <w:t xml:space="preserve">Classification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4953000" cy="2590800"/>
            <wp:effectExtent t="0" r="0" b="0" l="0"/>
            <wp:docPr id="1" name="clf_models" descr="Figure 6 — Classifier comparison on 50,000 unseen listings" title="clf_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Figure 6 — Classifier comparison on 50,000 unseen listings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32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  <w:tc>
          <w:tcPr>
            <w:tcW w:type="dxa" w:w="1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 time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85.40 %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0.8655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0.9376</w:t>
            </w:r>
          </w:p>
        </w:tc>
        <w:tc>
          <w:tcPr>
            <w:tcW w:type="dxa" w:w="1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97.35 %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0.9756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0.9967</w:t>
            </w:r>
          </w:p>
        </w:tc>
        <w:tc>
          <w:tcPr>
            <w:tcW w:type="dxa" w:w="1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XGBoost (champion)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99.74 %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0.9976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1.0000</w:t>
            </w:r>
          </w:p>
        </w:tc>
        <w:tc>
          <w:tcPr>
            <w:tcW w:type="dxa" w:w="1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 s</w:t>
            </w:r>
          </w:p>
        </w:tc>
      </w:tr>
    </w:tbl>
    <w:p>
      <w:pPr>
        <w:spacing w:after="100"/>
      </w:pPr>
    </w:p>
    <w:p>
      <w:pPr>
        <w:keepNext w:val="false"/>
        <w:spacing w:after="160" w:line="288" w:lineRule="auto"/>
      </w:pPr>
      <w:r>
        <w:rPr>
          <w:rFonts w:ascii="Arial" w:cs="Arial" w:eastAsia="Arial" w:hAnsi="Arial"/>
        </w:rPr>
        <w:t xml:space="preserve">XGBoost also reaches precision 99.70 % and recall 99.82 %. On the 50,000 test listings it makes </w:t>
      </w:r>
      <w:r>
        <w:rPr>
          <w:rFonts w:ascii="Arial" w:cs="Arial" w:eastAsia="Arial" w:hAnsi="Arial"/>
          <w:b/>
          <w:bCs/>
        </w:rPr>
        <w:t xml:space="preserve">130 errors</w:t>
      </w:r>
      <w:r>
        <w:rPr>
          <w:rFonts w:ascii="Arial" w:cs="Arial" w:eastAsia="Arial" w:hAnsi="Arial"/>
        </w:rPr>
        <w:t xml:space="preserve"> — 82 false alarms and 48 missed opportunities.</w:t>
      </w:r>
    </w:p>
    <w:p>
      <w:pPr>
        <w:pStyle w:val="Heading3"/>
      </w:pPr>
      <w:r>
        <w:rPr>
          <w:rFonts w:ascii="Arial" w:cs="Arial" w:eastAsia="Arial" w:hAnsi="Arial"/>
        </w:rPr>
        <w:t xml:space="preserve">Regression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reg_models" descr="Figure 7 — Regressor comparison (error in ₹ Lakhs)" title="reg_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Figure 7 — Regressor comparison (error in ₹ Lakhs)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XGBoost predicts 5-year value with </w:t>
      </w:r>
      <w:r>
        <w:rPr>
          <w:rFonts w:ascii="Arial" w:cs="Arial" w:eastAsia="Arial" w:hAnsi="Arial"/>
          <w:b/>
          <w:bCs/>
        </w:rPr>
        <w:t xml:space="preserve">RMSE ₹1.73 L, MAE ₹1.34 L (≈ 0.58 % error) and R² = 0.9999</w:t>
      </w:r>
      <w:r>
        <w:rPr>
          <w:rFonts w:ascii="Arial" w:cs="Arial" w:eastAsia="Arial" w:hAnsi="Arial"/>
        </w:rPr>
        <w:t xml:space="preserve">; residuals are centred on −0.01 L with no funnel shape. Because future value is anchored on today's price by construction, the real skill is learning the growth component: a naive “price × median growth” baseline has an MAE of ₹14.99 L, so the model removes </w:t>
      </w:r>
      <w:r>
        <w:rPr>
          <w:rFonts w:ascii="Arial" w:cs="Arial" w:eastAsia="Arial" w:hAnsi="Arial"/>
          <w:b/>
          <w:bCs/>
        </w:rPr>
        <w:t xml:space="preserve">91 %</w:t>
      </w:r>
      <w:r>
        <w:rPr>
          <w:rFonts w:ascii="Arial" w:cs="Arial" w:eastAsia="Arial" w:hAnsi="Arial"/>
        </w:rPr>
        <w:t xml:space="preserve"> of that error.</w:t>
      </w:r>
    </w:p>
    <w:p>
      <w:pPr>
        <w:pStyle w:val="Heading2"/>
      </w:pPr>
      <w:r>
        <w:rPr>
          <w:rFonts w:ascii="Arial" w:cs="Arial" w:eastAsia="Arial" w:hAnsi="Arial"/>
        </w:rPr>
        <w:t xml:space="preserve">4.5 Honesty checks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Near-perfect scores on a rule-derived label say that the model </w:t>
      </w:r>
      <w:r>
        <w:rPr>
          <w:rFonts w:ascii="Arial" w:cs="Arial" w:eastAsia="Arial" w:hAnsi="Arial"/>
          <w:b/>
          <w:bCs/>
        </w:rPr>
        <w:t xml:space="preserve">learned the rule</w:t>
      </w:r>
      <w:r>
        <w:rPr>
          <w:rFonts w:ascii="Arial" w:cs="Arial" w:eastAsia="Arial" w:hAnsi="Arial"/>
        </w:rPr>
        <w:t xml:space="preserve">, not that it can forecast the market. Two checks put the headline in context.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334000" cy="1895475"/>
            <wp:effectExtent t="0" r="0" b="0" l="0"/>
            <wp:docPr id="1" name="honesty" descr="Figure 8 — Accuracy under the three evaluation settings" title="hones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Figure 8 — Accuracy under the three evaluation settings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Ablation (price features removed):</w:t>
      </w:r>
      <w:r>
        <w:rPr>
          <w:rFonts w:ascii="Arial" w:cs="Arial" w:eastAsia="Arial" w:hAnsi="Arial"/>
        </w:rPr>
        <w:t xml:space="preserve"> XGBoost still reaches </w:t>
      </w:r>
      <w:r>
        <w:rPr>
          <w:rFonts w:ascii="Arial" w:cs="Arial" w:eastAsia="Arial" w:hAnsi="Arial"/>
          <w:b/>
          <w:bCs/>
        </w:rPr>
        <w:t xml:space="preserve">87.2 % accuracy / 0.955 AUC</w:t>
      </w:r>
      <w:r>
        <w:rPr>
          <w:rFonts w:ascii="Arial" w:cs="Arial" w:eastAsia="Arial" w:hAnsi="Arial"/>
        </w:rPr>
        <w:t xml:space="preserve">, so most of the signal comes from property attributes — BHK, readiness, infrastructure, city tier. The price-versus-city-median rule supplies the remaining lift.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Market-noise robustness:</w:t>
      </w:r>
      <w:r>
        <w:rPr>
          <w:rFonts w:ascii="Arial" w:cs="Arial" w:eastAsia="Arial" w:hAnsi="Arial"/>
        </w:rPr>
        <w:t xml:space="preserve"> adding Gaussian noise (σ = 0.8 percentage points) to the growth rate — unseen by the model — lowers accuracy by </w:t>
      </w:r>
      <w:r>
        <w:rPr>
          <w:rFonts w:ascii="Arial" w:cs="Arial" w:eastAsia="Arial" w:hAnsi="Arial"/>
          <w:b/>
          <w:bCs/>
        </w:rPr>
        <w:t xml:space="preserve">6.7 points to 93.0 %</w:t>
      </w:r>
      <w:r>
        <w:rPr>
          <w:rFonts w:ascii="Arial" w:cs="Arial" w:eastAsia="Arial" w:hAnsi="Arial"/>
        </w:rPr>
        <w:t xml:space="preserve">; the 5-year price model keeps R² = 0.994.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importance" descr="Figure 9 — Feature importance. *Cosmetic = facing, furnishing, owner type, parking, security" title="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Figure 9 — Feature importance. *Cosmetic = facing, furnishing, owner type, parking, security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Classifier drivers:</w:t>
      </w:r>
      <w:r>
        <w:rPr>
          <w:rFonts w:ascii="Arial" w:cs="Arial" w:eastAsia="Arial" w:hAnsi="Arial"/>
        </w:rPr>
        <w:t xml:space="preserve"> City (39.4 %), BHK (13.1 %) and Availability status (11.6 %) lead; features outside the label rules share only 0.6 %, a good sign the model is not fitting noise.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  <w:b/>
          <w:bCs/>
        </w:rPr>
        <w:t xml:space="preserve">Regressor drivers:</w:t>
      </w:r>
      <w:r>
        <w:rPr>
          <w:rFonts w:ascii="Arial" w:cs="Arial" w:eastAsia="Arial" w:hAnsi="Arial"/>
        </w:rPr>
        <w:t xml:space="preserve"> price-related inputs carry 96 % of importance — where you start matters most. Growth drivers carry 4 % but decide how fast value compounds; the single most important of them is Availability status (1.8 %).</w:t>
      </w:r>
    </w:p>
    <w:p>
      <w:pPr>
        <w:pStyle w:val="Heading2"/>
      </w:pPr>
      <w:r>
        <w:rPr>
          <w:rFonts w:ascii="Arial" w:cs="Arial" w:eastAsia="Arial" w:hAnsi="Arial"/>
        </w:rPr>
        <w:t xml:space="preserve">4.6 Where to see the interactive versions</w:t>
      </w:r>
    </w:p>
    <w:p>
      <w:pPr>
        <w:keepNext/>
        <w:spacing w:after="120" w:line="288" w:lineRule="auto"/>
      </w:pPr>
      <w:r>
        <w:rPr>
          <w:rFonts w:ascii="Arial" w:cs="Arial" w:eastAsia="Arial" w:hAnsi="Arial"/>
        </w:rPr>
        <w:t xml:space="preserve">The figures above are static snapshots. Each insight has a live, interactive counterpart in the app: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rPr>
          <w:cantSplit/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Insight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location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Verdict and probability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Investment Advisor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Analyse; gauge and value path update per property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 what-if / negotiation target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Investment Advisor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Hover the curve to see P(Good) and 5-year value at each asking price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City, type and BHK patterns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Explorer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 filters; heatmap metric, row and column selectors; treemap drill-down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Opportunity quadrant, infrastructure vs gain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Explorer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Hover and zoom; locality leaderboard and sortable listings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Property DNA map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Insight Lab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Recolour by segment, verdict or ₹/sq ft; hover any listing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Fair-price band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Insight Lab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Twin table with comparable listings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simulation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Insight Lab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Sliders for holding period, volatility, growth shock and FD rate — recomputes instantly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Counterfactual levers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Insight Lab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 chart of Δ probability and a best-path waterfall</w:t>
            </w:r>
          </w:p>
        </w:tc>
      </w:tr>
    </w:tbl>
    <w:p>
      <w:pPr>
        <w:pStyle w:val="Heading1"/>
        <w:spacing w:after="200" w:before="420"/>
      </w:pPr>
      <w:r>
        <w:rPr>
          <w:rFonts w:ascii="Arial" w:cs="Arial" w:eastAsia="Arial" w:hAnsi="Arial"/>
        </w:rPr>
        <w:t xml:space="preserve">5. Use cases</w:t>
      </w:r>
    </w:p>
    <w:p>
      <w:pPr>
        <w:pStyle w:val="Heading2"/>
      </w:pPr>
      <w:r>
        <w:rPr>
          <w:rFonts w:ascii="Arial" w:cs="Arial" w:eastAsia="Arial" w:hAnsi="Arial"/>
        </w:rPr>
        <w:t xml:space="preserve">5.1 Who benefits and how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4326"/>
      </w:tblGrid>
      <w:tr>
        <w:trPr>
          <w:cantSplit/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they ask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this project helps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Individual investor / home buyer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“Is this listing worth it, and what is a fair offer?”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Verdict with probability, 5-year value ± error, negotiation target from the what-if curve, twin-based fair-price band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Real-estate advisor / broker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“How do I justify a recommendation to a client?”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Five-criteria checklist, comparable listings, counterfactual levers that show what would change the verdict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Mortgage lender / banker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“How risky is the collateral over the loan tenor?”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Monte Carlo fan chart, chance of loss and worst-5 % value; typicality score flags unusual listings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Developer / builder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“Where and what should we build?”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Opportunity quadrant, infrastructure-vs-gain chart, segment profiles, readiness and BHK effects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PropTech product team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“Can we embed an investment score in our listing page?”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 feature module + registered champion pipelines + tested inference path ready to wrap in an API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Portfolio / investment analyst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“Which cities and localities screen best?”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Filterable market explorer, locality leaderboard, CSV export, city Good-Investment rates (38 %–70 %)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5.2 Worked scenarios (built-in presets)</w:t>
      </w:r>
    </w:p>
    <w:p>
      <w:pPr>
        <w:spacing w:after="120" w:line="288" w:lineRule="auto"/>
      </w:pPr>
      <w:r>
        <w:rPr>
          <w:rFonts w:ascii="Arial" w:cs="Arial" w:eastAsia="Arial" w:hAnsi="Arial"/>
        </w:rPr>
        <w:t xml:space="preserve">The Advisor ships with three presets so a reviewer can see the product working in seconds.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626"/>
      </w:tblGrid>
      <w:tr>
        <w:trPr>
          <w:cantSplit/>
          <w:tblHeader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Preset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Profile</w:t>
            </w:r>
          </w:p>
        </w:tc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look 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🏢 Starter apartment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BHK, 950 sq ft, ₹60 L, Pune (or Bangalore), 2018 build, ready to move</w:t>
            </w:r>
          </w:p>
        </w:tc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Does a small ready-to-move unit pass the 3-of-5 rule? Which lever flips the verdict?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🏡 Family home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BHK independent house, 1,800 sq ft, ₹150 L, Hyderabad (or Chennai), 2012 build</w:t>
            </w:r>
          </w:p>
        </w:tc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Value-versus-growth trade-off; fair-price band against structural twins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🏰 Premium villa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BHK villa, 3,500 sq ft, ₹450 L, Mumbai (or Delhi), under construction</w:t>
            </w:r>
          </w:p>
        </w:tc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simulator: widen volatility and see chance of loss and the fixed-deposit comparison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5.3 Suggested two-minute demo flow</w:t>
      </w:r>
    </w:p>
    <w:p>
      <w:pPr>
        <w:pStyle w:val="ListParagraph"/>
        <w:numPr>
          <w:ilvl w:val="0"/>
          <w:numId w:val="5"/>
        </w:numPr>
        <w:spacing w:after="90" w:line="276" w:lineRule="auto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Investment Advisor</w:t>
      </w:r>
      <w:r>
        <w:rPr>
          <w:rFonts w:ascii="Arial" w:cs="Arial" w:eastAsia="Arial" w:hAnsi="Arial"/>
        </w:rPr>
        <w:t xml:space="preserve">, load </w:t>
      </w:r>
      <w:r>
        <w:rPr>
          <w:rFonts w:ascii="Arial" w:cs="Arial" w:eastAsia="Arial" w:hAnsi="Arial"/>
          <w:i/>
          <w:iCs/>
        </w:rPr>
        <w:t xml:space="preserve">Family home</w:t>
      </w:r>
      <w:r>
        <w:rPr>
          <w:rFonts w:ascii="Arial" w:cs="Arial" w:eastAsia="Arial" w:hAnsi="Arial"/>
        </w:rPr>
        <w:t xml:space="preserve">, press </w:t>
      </w:r>
      <w:r>
        <w:rPr>
          <w:rFonts w:ascii="Arial" w:cs="Arial" w:eastAsia="Arial" w:hAnsi="Arial"/>
          <w:b/>
          <w:bCs/>
        </w:rPr>
        <w:t xml:space="preserve">Analyse</w:t>
      </w:r>
      <w:r>
        <w:rPr>
          <w:rFonts w:ascii="Arial" w:cs="Arial" w:eastAsia="Arial" w:hAnsi="Arial"/>
        </w:rPr>
        <w:t xml:space="preserve"> — read the verdict, gauge and 5-year value band.</w:t>
      </w:r>
    </w:p>
    <w:p>
      <w:pPr>
        <w:pStyle w:val="ListParagraph"/>
        <w:numPr>
          <w:ilvl w:val="0"/>
          <w:numId w:val="5"/>
        </w:numPr>
        <w:spacing w:after="90" w:line="276" w:lineRule="auto"/>
      </w:pPr>
      <w:r>
        <w:rPr>
          <w:rFonts w:ascii="Arial" w:cs="Arial" w:eastAsia="Arial" w:hAnsi="Arial"/>
        </w:rPr>
        <w:t xml:space="preserve">Drag along the </w:t>
      </w:r>
      <w:r>
        <w:rPr>
          <w:rFonts w:ascii="Arial" w:cs="Arial" w:eastAsia="Arial" w:hAnsi="Arial"/>
          <w:b/>
          <w:bCs/>
        </w:rPr>
        <w:t xml:space="preserve">what-if curve</w:t>
      </w:r>
      <w:r>
        <w:rPr>
          <w:rFonts w:ascii="Arial" w:cs="Arial" w:eastAsia="Arial" w:hAnsi="Arial"/>
        </w:rPr>
        <w:t xml:space="preserve"> to find the asking price where the verdict flips — a data-backed negotiation target.</w:t>
      </w:r>
    </w:p>
    <w:p>
      <w:pPr>
        <w:pStyle w:val="ListParagraph"/>
        <w:numPr>
          <w:ilvl w:val="0"/>
          <w:numId w:val="5"/>
        </w:numPr>
        <w:spacing w:after="90" w:line="276" w:lineRule="auto"/>
      </w:pPr>
      <w:r>
        <w:rPr>
          <w:rFonts w:ascii="Arial" w:cs="Arial" w:eastAsia="Arial" w:hAnsi="Arial"/>
        </w:rPr>
        <w:t xml:space="preserve">Switch to </w:t>
      </w:r>
      <w:r>
        <w:rPr>
          <w:rFonts w:ascii="Arial" w:cs="Arial" w:eastAsia="Arial" w:hAnsi="Arial"/>
          <w:b/>
          <w:bCs/>
        </w:rPr>
        <w:t xml:space="preserve">Insight Lab</w:t>
      </w:r>
      <w:r>
        <w:rPr>
          <w:rFonts w:ascii="Arial" w:cs="Arial" w:eastAsia="Arial" w:hAnsi="Arial"/>
        </w:rPr>
        <w:t xml:space="preserve">: show the property's segment on the market map, then the twin-based fair-price band.</w:t>
      </w:r>
    </w:p>
    <w:p>
      <w:pPr>
        <w:pStyle w:val="ListParagraph"/>
        <w:numPr>
          <w:ilvl w:val="0"/>
          <w:numId w:val="5"/>
        </w:numPr>
        <w:spacing w:after="90" w:line="276" w:lineRule="auto"/>
      </w:pPr>
      <w:r>
        <w:rPr>
          <w:rFonts w:ascii="Arial" w:cs="Arial" w:eastAsia="Arial" w:hAnsi="Arial"/>
        </w:rPr>
        <w:t xml:space="preserve">Move the </w:t>
      </w:r>
      <w:r>
        <w:rPr>
          <w:rFonts w:ascii="Arial" w:cs="Arial" w:eastAsia="Arial" w:hAnsi="Arial"/>
          <w:b/>
          <w:bCs/>
        </w:rPr>
        <w:t xml:space="preserve">volatility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growth-shock</w:t>
      </w:r>
      <w:r>
        <w:rPr>
          <w:rFonts w:ascii="Arial" w:cs="Arial" w:eastAsia="Arial" w:hAnsi="Arial"/>
        </w:rPr>
        <w:t xml:space="preserve"> sliders and watch the chance of loss change live.</w:t>
      </w:r>
    </w:p>
    <w:p>
      <w:pPr>
        <w:pStyle w:val="ListParagraph"/>
        <w:numPr>
          <w:ilvl w:val="0"/>
          <w:numId w:val="5"/>
        </w:numPr>
        <w:spacing w:after="90" w:line="276" w:lineRule="auto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Model &amp; Methodology</w:t>
      </w:r>
      <w:r>
        <w:rPr>
          <w:rFonts w:ascii="Arial" w:cs="Arial" w:eastAsia="Arial" w:hAnsi="Arial"/>
        </w:rPr>
        <w:t xml:space="preserve"> and point to the ablation and noise checks to show the scores are interpreted honestly.</w:t>
      </w:r>
    </w:p>
    <w:p>
      <w:pPr>
        <w:pStyle w:val="Heading2"/>
      </w:pPr>
      <w:r>
        <w:rPr>
          <w:rFonts w:ascii="Arial" w:cs="Arial" w:eastAsia="Arial" w:hAnsi="Arial"/>
        </w:rPr>
        <w:t xml:space="preserve">5.4 Path to production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</w:rPr>
        <w:t xml:space="preserve">Wrap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engineer_features</w:t>
      </w:r>
      <w:r>
        <w:rPr>
          <w:rFonts w:ascii="Arial" w:cs="Arial" w:eastAsia="Arial" w:hAnsi="Arial"/>
        </w:rPr>
        <w:t xml:space="preserve"> → 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add_targets</w:t>
      </w:r>
      <w:r>
        <w:rPr>
          <w:rFonts w:ascii="Arial" w:cs="Arial" w:eastAsia="Arial" w:hAnsi="Arial"/>
        </w:rPr>
        <w:t xml:space="preserve"> → champion pipelines in a REST endpoint; the inference path is already tested against the notebook.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</w:rPr>
        <w:t xml:space="preserve">Replace rule-based labels with realised appreciation and rental yield (RERA, listing portals, census) and re-run the same MLflow comparison.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rial" w:cs="Arial" w:eastAsia="Arial" w:hAnsi="Arial"/>
        </w:rPr>
        <w:t xml:space="preserve">Add monitoring for drift in city medians (</w:t>
      </w:r>
      <w:r>
        <w:rPr>
          <w:rFonts w:ascii="Courier New" w:cs="Courier New" w:eastAsia="Courier New" w:hAnsi="Courier New"/>
          <w:color w:val="4C1D95"/>
          <w:sz w:val="19"/>
          <w:szCs w:val="19"/>
          <w:shd w:fill="EDE9FE" w:val="clear"/>
        </w:rPr>
        <w:t xml:space="preserve">reference.json</w:t>
      </w:r>
      <w:r>
        <w:rPr>
          <w:rFonts w:ascii="Arial" w:cs="Arial" w:eastAsia="Arial" w:hAnsi="Arial"/>
        </w:rPr>
        <w:t xml:space="preserve">) and re-register champions with the existing alias workflow.</w:t>
      </w:r>
    </w:p>
    <w:p>
      <w:pPr>
        <w:pStyle w:val="Heading1"/>
        <w:spacing w:after="200" w:before="420"/>
      </w:pPr>
      <w:r>
        <w:rPr>
          <w:rFonts w:ascii="Arial" w:cs="Arial" w:eastAsia="Arial" w:hAnsi="Arial"/>
        </w:rPr>
        <w:t xml:space="preserve">6. Limitations and next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F4444" w:sz="36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21"/>
                <w:szCs w:val="21"/>
              </w:rPr>
              <w:t xml:space="preserve">Read this before trusting the numbers</w:t>
            </w:r>
          </w:p>
          <w:p>
            <w:pPr>
              <w:spacing w:after="50" w:line="27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Targets are rule-based scenarios.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no price history or realised returns, both labels are engineered. High scores show that the models learned the investment logic —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that they forecast the real market.</w:t>
            </w:r>
          </w:p>
          <w:p>
            <w:pPr>
              <w:spacing w:after="50" w:line="27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data looks synthetic: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columns appear independently and uniformly generated (price is uncorrelated with size), so market charts describe patterns in this dataset only.</w:t>
            </w:r>
          </w:p>
          <w:p>
            <w:pPr>
              <w:spacing w:after="50" w:line="27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dated prices or rents,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so time-series models (ARIMA, Prophet, LSTM) were deliberately not used; the time axis is construction period.</w:t>
            </w:r>
          </w:p>
          <w:p>
            <w:pPr>
              <w:spacing w:after="50" w:line="27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Crime rate is not available;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  <w:shd w:fill="EDE9FE" w:val="clear"/>
              </w:rPr>
              <w:t xml:space="preserve">Security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  <w:shd w:fill="EDE9FE" w:val="clear"/>
              </w:rPr>
              <w:t xml:space="preserve">Infrastructure_Score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are used as proxies. The Insight Lab's Monte Carlo and counterfactual outputs are scenario analysis,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financial advice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6.1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2926"/>
      </w:tblGrid>
      <w:tr>
        <w:trPr>
          <w:cantSplit/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2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Merge real appreciation and rental-yield data to replace rule-based labels</w:t>
            </w:r>
          </w:p>
        </w:tc>
        <w:tc>
          <w:tcPr>
            <w:tcW w:type="dxa" w:w="2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Turns rule recovery into genuine forecasting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SHAP explanations to the Advisor tab</w:t>
            </w:r>
          </w:p>
        </w:tc>
        <w:tc>
          <w:tcPr>
            <w:tcW w:type="dxa" w:w="2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Per-listing, model-faithful reasons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Hyper-parameter search with Optuna</w:t>
            </w:r>
          </w:p>
        </w:tc>
        <w:tc>
          <w:tcPr>
            <w:tcW w:type="dxa" w:w="2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Tuned champions, tracked in MLflow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Later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Geospatial features (distance to CBD, metro)</w:t>
            </w:r>
          </w:p>
        </w:tc>
        <w:tc>
          <w:tcPr>
            <w:tcW w:type="dxa" w:w="2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Richer infrastructure signal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Later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Containerise with Docker; deploy on Streamlit Cloud</w:t>
            </w:r>
          </w:p>
        </w:tc>
        <w:tc>
          <w:tcPr>
            <w:tcW w:type="dxa" w:w="2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Shareable live demo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Later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EMI / rental-yield IRR calculator and city-vs-city comparison</w:t>
            </w:r>
          </w:p>
        </w:tc>
        <w:tc>
          <w:tcPr>
            <w:tcW w:type="dxa" w:w="2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Leveraged-return view for investors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Appendix</w:t>
      </w:r>
    </w:p>
    <w:p>
      <w:pPr>
        <w:pStyle w:val="Heading2"/>
      </w:pPr>
      <w:r>
        <w:rPr>
          <w:rFonts w:ascii="Arial" w:cs="Arial" w:eastAsia="Arial" w:hAnsi="Arial"/>
        </w:rPr>
        <w:t xml:space="preserve">A. Project structure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Real_Estate_Investment_Advisor.ipynb  ← notebook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real_estate_features.py               ← shared features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app.py                                ← Streamlit app (4 tabs)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Insights.py                           ← Insight Lab module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requirements.txt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data/    cleaned_housing.csv · app_sample.csv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models/  clf_pipeline.joblib · reg_pipeline.joblib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reference.json · model_meta.json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 mlflow.db · mlruns/                   ← experiment tracking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B. How to run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pip install streamlit plotly scikit-learn xgboost joblib pandas mlflow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1) run the notebook once to write data/ and models/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streamlit run app.py</w:t>
      </w:r>
    </w:p>
    <w:p>
      <w:pPr>
        <w:shd w:fill="F1F5F9" w:val="clear"/>
        <w:spacing w:after="0" w:line="252" w:lineRule="auto"/>
        <w:ind w:left="120" w:right="1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mlflow ui --backend-store-uri sqlite:///mlflow.db     # optional: browse experiments</w:t>
      </w:r>
    </w:p>
    <w:p>
      <w:pPr>
        <w:spacing w:after="160" w:line="288" w:lineRule="auto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Keep </w:t>
      </w:r>
      <w:r>
        <w:rPr>
          <w:rFonts w:ascii="Courier New" w:cs="Courier New" w:eastAsia="Courier New" w:hAnsi="Courier New"/>
          <w:color w:val="4C1D95"/>
          <w:sz w:val="16"/>
          <w:szCs w:val="16"/>
          <w:shd w:fill="EDE9FE" w:val="clear"/>
        </w:rPr>
        <w:t xml:space="preserve">Insights.py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beside </w:t>
      </w:r>
      <w:r>
        <w:rPr>
          <w:rFonts w:ascii="Courier New" w:cs="Courier New" w:eastAsia="Courier New" w:hAnsi="Courier New"/>
          <w:color w:val="4C1D95"/>
          <w:sz w:val="16"/>
          <w:szCs w:val="16"/>
          <w:shd w:fill="EDE9FE" w:val="clear"/>
        </w:rPr>
        <w:t xml:space="preserve">app.py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(not inside a </w:t>
      </w:r>
      <w:r>
        <w:rPr>
          <w:rFonts w:ascii="Courier New" w:cs="Courier New" w:eastAsia="Courier New" w:hAnsi="Courier New"/>
          <w:color w:val="4C1D95"/>
          <w:sz w:val="16"/>
          <w:szCs w:val="16"/>
          <w:shd w:fill="EDE9FE" w:val="clear"/>
        </w:rPr>
        <w:t xml:space="preserve">pages/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folder, or Streamlit treats it as a separate page).</w:t>
      </w:r>
    </w:p>
    <w:p>
      <w:pPr>
        <w:pStyle w:val="Heading2"/>
      </w:pPr>
      <w:r>
        <w:rPr>
          <w:rFonts w:ascii="Arial" w:cs="Arial" w:eastAsia="Arial" w:hAnsi="Arial"/>
        </w:rPr>
        <w:t xml:space="preserve">C. Metric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7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Plain-language 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7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 of listings classified correctly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Precision / Recall</w:t>
            </w:r>
          </w:p>
        </w:tc>
        <w:tc>
          <w:tcPr>
            <w:tcW w:type="dxa" w:w="7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 listings called good, how many truly are / of truly good listings, how many were found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7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Harmonic mean of precision and recall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ROC-AUC</w:t>
            </w:r>
          </w:p>
        </w:tc>
        <w:tc>
          <w:tcPr>
            <w:tcW w:type="dxa" w:w="7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Probability that a random good listing is ranked above a random not-good one (1.0 = perfect ranking)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RMSE / MAE</w:t>
            </w:r>
          </w:p>
        </w:tc>
        <w:tc>
          <w:tcPr>
            <w:tcW w:type="dxa" w:w="7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Typical size of the price error in ₹ Lakhs; RMSE penalises large misses more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R²</w:t>
            </w:r>
          </w:p>
        </w:tc>
        <w:tc>
          <w:tcPr>
            <w:tcW w:type="dxa" w:w="7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 of price variation explained by the model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Ablation</w:t>
            </w:r>
          </w:p>
        </w:tc>
        <w:tc>
          <w:tcPr>
            <w:tcW w:type="dxa" w:w="7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Retraining without a group of features to see how much the model depends on them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Counterfactual</w:t>
            </w:r>
          </w:p>
        </w:tc>
        <w:tc>
          <w:tcPr>
            <w:tcW w:type="dxa" w:w="7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re-scored “what if” version of the same property</w:t>
            </w:r>
          </w:p>
        </w:tc>
      </w:tr>
    </w:tbl>
    <w:p>
      <w:pPr>
        <w:spacing w:after="160"/>
      </w:pPr>
    </w:p>
    <w:p>
      <w:pPr>
        <w:spacing w:after="120" w:line="288" w:lineRule="auto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Prepared by P Suman Sangeet · Real Estate Investment Advisor · October 2026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5"/>
        <w:szCs w:val="15"/>
      </w:rPr>
      <w:t xml:space="preserve">P Suman Sangeet</w:t>
    </w:r>
    <w:r>
      <w:rPr>
        <w:rFonts w:ascii="Arial" w:cs="Arial" w:eastAsia="Arial" w:hAnsi="Arial"/>
        <w:color w:val="64748B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172A"/>
        <w:spacing w:val="30"/>
        <w:sz w:val="15"/>
        <w:szCs w:val="15"/>
      </w:rPr>
      <w:t xml:space="preserve">PROPERTY INSIGHT LAB</w:t>
    </w:r>
    <w:r>
      <w:rPr>
        <w:rFonts w:ascii="Arial" w:cs="Arial" w:eastAsia="Arial" w:hAnsi="Arial"/>
        <w:color w:val="64748B"/>
        <w:sz w:val="15"/>
        <w:szCs w:val="15"/>
      </w:rPr>
      <w:t xml:space="preserve">	Real Estate Investment Advisor · Project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4F46E5"/>
      </w:r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7D2FE" w:sz="12" w:space="6"/>
      </w:pBdr>
      <w:spacing w:after="200" w:before="12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0F172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7C3AE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dbed410387ff75dd034dc95defbb8b0bca1547b.png"/><Relationship Id="rId12" Type="http://schemas.openxmlformats.org/officeDocument/2006/relationships/image" Target="media/3dda0c3a40773b000c9181a352092954833ea648.png"/><Relationship Id="rId13" Type="http://schemas.openxmlformats.org/officeDocument/2006/relationships/image" Target="media/743be181ecc5a408880dbbc421dc88dc392539c4.png"/><Relationship Id="rId14" Type="http://schemas.openxmlformats.org/officeDocument/2006/relationships/image" Target="media/a2381cfa23b66a32d6fb0b49033bb2b7625433b0.png"/><Relationship Id="rId15" Type="http://schemas.openxmlformats.org/officeDocument/2006/relationships/image" Target="media/16776a04e731f55c07bbe3f00735fd20d87b9836.png"/><Relationship Id="rId16" Type="http://schemas.openxmlformats.org/officeDocument/2006/relationships/image" Target="media/d25d031d5b1101f2d0be801eff6c6c8f634df683.png"/><Relationship Id="rId17" Type="http://schemas.openxmlformats.org/officeDocument/2006/relationships/image" Target="media/3b0dd02f88225b4af1f752e720b560773c83a0a1.png"/><Relationship Id="rId18" Type="http://schemas.openxmlformats.org/officeDocument/2006/relationships/image" Target="media/dfc45c435906f2e317e947cde176f63029a374e6.png"/><Relationship Id="rId19" Type="http://schemas.openxmlformats.org/officeDocument/2006/relationships/image" Target="media/d7e34cbd7787db5af6ff59cd265293b5e826ab05.png"/><Relationship Id="rId20" Type="http://schemas.openxmlformats.org/officeDocument/2006/relationships/image" Target="media/8a7b03a0c5cde1b2d908fd2794784733ecd2ff1a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Estate Investment Advisor — Project Documentation</dc:title>
  <dc:creator>P Suman Sangeet</dc:creator>
  <dc:description>Methodology, findings and use cases</dc:description>
  <cp:lastModifiedBy>Un-named</cp:lastModifiedBy>
  <cp:revision>1</cp:revision>
  <dcterms:created xsi:type="dcterms:W3CDTF">2026-10-26T07:36:13.882Z</dcterms:created>
  <dcterms:modified xsi:type="dcterms:W3CDTF">2026-10-26T07:36:13.882Z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