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1F2430"/>
          <w:sz w:val="48"/>
          <w:szCs w:val="48"/>
        </w:rPr>
        <w:t xml:space="preserve">Business Summary — Sugar Cosmetics Instagram Performance</w:t>
      </w:r>
    </w:p>
    <w:p>
      <w:pPr>
        <w:pBdr>
          <w:bottom w:val="single" w:color="C2185B" w:sz="12" w:space="6"/>
        </w:pBdr>
        <w:spacing w:after="160"/>
      </w:pPr>
      <w:r>
        <w:rPr>
          <w:color w:val="6B7280"/>
          <w:sz w:val="23"/>
          <w:szCs w:val="23"/>
        </w:rPr>
        <w:t xml:space="preserve">Executive brief for the marketing team  ·  19 Apr 2024 – 19 Apr 2025  ·  50,000 post-level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C2185B" w:sz="24"/>
              <w:bottom w:val="none"/>
              <w:right w:val="none"/>
            </w:tcBorders>
            <w:shd w:fill="FDF2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olor w:val="C2185B"/>
                <w:sz w:val="21"/>
                <w:szCs w:val="21"/>
              </w:rPr>
              <w:t xml:space="preserve">Bottom line.  </w:t>
            </w:r>
            <w:r>
              <w:rPr>
                <w:color w:val="1F2430"/>
                <w:sz w:val="21"/>
                <w:szCs w:val="21"/>
              </w:rPr>
              <w:t xml:space="preserve">Instagram performance is healthy and steady, but none of the seven levers tested — format, weekday, campaign, audience emotion, source, hashtag and hashtag count — is a proven winner (gaps of only 0.5–1.1%). Growth will come from more reach, deeper engagement and better follower conversion, not from re-allocating effort between formats.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2185B" w:sz="18"/>
              <w:left w:val="single" w:color="FFFFFF" w:sz="8"/>
              <w:bottom w:val="none"/>
              <w:right w:val="single" w:color="FFFFFF" w:sz="8"/>
            </w:tcBorders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C2185B"/>
                <w:sz w:val="30"/>
                <w:szCs w:val="30"/>
              </w:rPr>
              <w:t xml:space="preserve">50,000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7"/>
                <w:szCs w:val="17"/>
              </w:rPr>
              <w:t xml:space="preserve">Posts (records)</w:t>
            </w:r>
          </w:p>
        </w:tc>
        <w:tc>
          <w:tcPr>
            <w:tcW w:type="dxa" w:w="1872"/>
            <w:tcBorders>
              <w:top w:val="single" w:color="C2185B" w:sz="18"/>
              <w:left w:val="single" w:color="FFFFFF" w:sz="8"/>
              <w:bottom w:val="none"/>
              <w:right w:val="single" w:color="FFFFFF" w:sz="8"/>
            </w:tcBorders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C2185B"/>
                <w:sz w:val="30"/>
                <w:szCs w:val="30"/>
              </w:rPr>
              <w:t xml:space="preserve">987.42M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7"/>
                <w:szCs w:val="17"/>
              </w:rPr>
              <w:t xml:space="preserve">Total reach</w:t>
            </w:r>
          </w:p>
        </w:tc>
        <w:tc>
          <w:tcPr>
            <w:tcW w:type="dxa" w:w="1872"/>
            <w:tcBorders>
              <w:top w:val="single" w:color="C2185B" w:sz="18"/>
              <w:left w:val="single" w:color="FFFFFF" w:sz="8"/>
              <w:bottom w:val="none"/>
              <w:right w:val="single" w:color="FFFFFF" w:sz="8"/>
            </w:tcBorders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C2185B"/>
                <w:sz w:val="30"/>
                <w:szCs w:val="30"/>
              </w:rPr>
              <w:t xml:space="preserve">147.73M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7"/>
                <w:szCs w:val="17"/>
              </w:rPr>
              <w:t xml:space="preserve">Likes</w:t>
            </w:r>
          </w:p>
        </w:tc>
        <w:tc>
          <w:tcPr>
            <w:tcW w:type="dxa" w:w="1872"/>
            <w:tcBorders>
              <w:top w:val="single" w:color="C2185B" w:sz="18"/>
              <w:left w:val="single" w:color="FFFFFF" w:sz="8"/>
              <w:bottom w:val="none"/>
              <w:right w:val="single" w:color="FFFFFF" w:sz="8"/>
            </w:tcBorders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C2185B"/>
                <w:sz w:val="30"/>
                <w:szCs w:val="30"/>
              </w:rPr>
              <w:t xml:space="preserve">18.46M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7"/>
                <w:szCs w:val="17"/>
              </w:rPr>
              <w:t xml:space="preserve">Comments</w:t>
            </w:r>
          </w:p>
        </w:tc>
        <w:tc>
          <w:tcPr>
            <w:tcW w:type="dxa" w:w="1872"/>
            <w:tcBorders>
              <w:top w:val="single" w:color="C2185B" w:sz="18"/>
              <w:left w:val="single" w:color="FFFFFF" w:sz="8"/>
              <w:bottom w:val="none"/>
              <w:right w:val="single" w:color="FFFFFF" w:sz="8"/>
            </w:tcBorders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C2185B"/>
                <w:sz w:val="30"/>
                <w:szCs w:val="30"/>
              </w:rPr>
              <w:t xml:space="preserve">18.54%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7"/>
                <w:szCs w:val="17"/>
              </w:rPr>
              <w:t xml:space="preserve">Avg engagement</w:t>
            </w:r>
          </w:p>
        </w:tc>
      </w:tr>
    </w:tbl>
    <w:p>
      <w:pPr>
        <w:spacing w:after="100"/>
      </w:pPr>
    </w:p>
    <w:p>
      <w:pPr>
        <w:pStyle w:val="Heading1"/>
        <w:spacing w:after="140" w:before="320"/>
      </w:pPr>
      <w:r>
        <w:t xml:space="preserve">What we found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F2430"/>
          <w:sz w:val="22"/>
          <w:szCs w:val="22"/>
        </w:rPr>
        <w:t xml:space="preserve">Performance is consistent. </w:t>
      </w:r>
      <w:r>
        <w:rPr>
          <w:color w:val="1F2430"/>
          <w:sz w:val="22"/>
          <w:szCs w:val="22"/>
        </w:rPr>
        <w:t xml:space="preserve">Posting is steady at about 4,100 records a month and engagement rate stays near 18.5% every month.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F2430"/>
          <w:sz w:val="22"/>
          <w:szCs w:val="22"/>
        </w:rPr>
        <w:t xml:space="preserve">No format is a clear winner. </w:t>
      </w:r>
      <w:r>
        <w:rPr>
          <w:color w:val="1F2430"/>
          <w:sz w:val="22"/>
          <w:szCs w:val="22"/>
        </w:rPr>
        <w:t xml:space="preserve">Reel (18.61%), Story, Video and Image are within 0.18 points; the difference is not statistically significant.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F2430"/>
          <w:sz w:val="22"/>
          <w:szCs w:val="22"/>
        </w:rPr>
        <w:t xml:space="preserve">No proven best day or hashtag. </w:t>
      </w:r>
      <w:r>
        <w:rPr>
          <w:color w:val="1F2430"/>
          <w:sz w:val="22"/>
          <w:szCs w:val="22"/>
        </w:rPr>
        <w:t xml:space="preserve">Wednesday (18.63%) edges Sunday (18.42%); hashtags differ by 0.10 points. Both are within noise.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F2430"/>
          <w:sz w:val="22"/>
          <w:szCs w:val="22"/>
        </w:rPr>
        <w:t xml:space="preserve">Reach, not format, drives volume. </w:t>
      </w:r>
      <w:r>
        <w:rPr>
          <w:color w:val="1F2430"/>
          <w:sz w:val="22"/>
          <w:szCs w:val="22"/>
        </w:rPr>
        <w:t xml:space="preserve">Likes track reach closely (r = 0.79); engagement rate does not (r = 0.00).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F2430"/>
          <w:sz w:val="22"/>
          <w:szCs w:val="22"/>
        </w:rPr>
        <w:t xml:space="preserve">Most interaction is shallow. </w:t>
      </w:r>
      <w:r>
        <w:rPr>
          <w:color w:val="1F2430"/>
          <w:sz w:val="22"/>
          <w:szCs w:val="22"/>
        </w:rPr>
        <w:t xml:space="preserve">Likes are 81% of interactions; comments, saves and shares together are 19%.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F2430"/>
          <w:sz w:val="22"/>
          <w:szCs w:val="22"/>
        </w:rPr>
        <w:t xml:space="preserve">Audience and source do not matter much either. </w:t>
      </w:r>
      <w:r>
        <w:rPr>
          <w:color w:val="1F2430"/>
          <w:sz w:val="22"/>
          <w:szCs w:val="22"/>
        </w:rPr>
        <w:t xml:space="preserve">Curious (18.62%) and Excited (18.47%) differ by 0.16 points; paid, organic, influencer and collab posts perform alike.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F2430"/>
          <w:sz w:val="22"/>
          <w:szCs w:val="22"/>
        </w:rPr>
        <w:t xml:space="preserve">Audience growth has a clear funnel. </w:t>
      </w:r>
      <w:r>
        <w:rPr>
          <w:color w:val="1F2430"/>
          <w:sz w:val="22"/>
          <w:szCs w:val="22"/>
        </w:rPr>
        <w:t xml:space="preserve">3.0% of reach visits the profile and 30% of visitors follow — about 8.87M follows in the year, ~740K a month.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F2430"/>
          <w:sz w:val="22"/>
          <w:szCs w:val="22"/>
        </w:rPr>
        <w:t xml:space="preserve">One signal worth testing. </w:t>
      </w:r>
      <w:r>
        <w:rPr>
          <w:color w:val="1F2430"/>
          <w:sz w:val="22"/>
          <w:szCs w:val="22"/>
        </w:rPr>
        <w:t xml:space="preserve">Posts with 2 hashtags score 18.63% vs 18.44% for 1 hashtag — borderline significant (p = 0.05).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F2430"/>
          <w:sz w:val="22"/>
          <w:szCs w:val="22"/>
        </w:rPr>
        <w:t xml:space="preserve">A fixable gap exists. </w:t>
      </w:r>
      <w:r>
        <w:rPr>
          <w:color w:val="1F2430"/>
          <w:sz w:val="22"/>
          <w:szCs w:val="22"/>
        </w:rPr>
        <w:t xml:space="preserve">6.2% of records (3,117) were widely seen but earned little engagement.</w:t>
      </w:r>
    </w:p>
    <w:p>
      <w:pPr>
        <w:spacing w:after="120" w:before="120"/>
        <w:jc w:val="center"/>
      </w:pPr>
      <w:r>
        <w:drawing>
          <wp:inline distT="0" distB="0" distL="0" distR="0">
            <wp:extent cx="4191000" cy="1990725"/>
            <wp:effectExtent t="0" r="0" b="0" l="0"/>
            <wp:docPr id="1" name="lever_scorecard" descr="lever_scorecard" title="lever_scorec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40" w:before="320"/>
      </w:pPr>
      <w:r>
        <w:t xml:space="preserve">What to do next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F2430"/>
          <w:sz w:val="22"/>
          <w:szCs w:val="22"/>
        </w:rPr>
        <w:t xml:space="preserve">Scale reach </w:t>
      </w:r>
      <w:r>
        <w:rPr>
          <w:color w:val="1F2430"/>
          <w:sz w:val="22"/>
          <w:szCs w:val="22"/>
        </w:rPr>
        <w:t xml:space="preserve">through influencer collabs and boosting the strongest creatives.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F2430"/>
          <w:sz w:val="22"/>
          <w:szCs w:val="22"/>
        </w:rPr>
        <w:t xml:space="preserve">Rescue high-reach, low-engagement posts </w:t>
      </w:r>
      <w:r>
        <w:rPr>
          <w:color w:val="1F2430"/>
          <w:sz w:val="22"/>
          <w:szCs w:val="22"/>
        </w:rPr>
        <w:t xml:space="preserve">with stronger hooks and clear calls-to-action.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F2430"/>
          <w:sz w:val="22"/>
          <w:szCs w:val="22"/>
        </w:rPr>
        <w:t xml:space="preserve">Build save- and share-worthy content </w:t>
      </w:r>
      <w:r>
        <w:rPr>
          <w:color w:val="1F2430"/>
          <w:sz w:val="22"/>
          <w:szCs w:val="22"/>
        </w:rPr>
        <w:t xml:space="preserve">— tutorials, festive offers, challenges — to move beyond likes.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F2430"/>
          <w:sz w:val="22"/>
          <w:szCs w:val="22"/>
        </w:rPr>
        <w:t xml:space="preserve">Optimise the profile </w:t>
      </w:r>
      <w:r>
        <w:rPr>
          <w:color w:val="1F2430"/>
          <w:sz w:val="22"/>
          <w:szCs w:val="22"/>
        </w:rPr>
        <w:t xml:space="preserve">(bio, highlights, link-in-bio) to lift follow conversion.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F2430"/>
          <w:sz w:val="22"/>
          <w:szCs w:val="22"/>
        </w:rPr>
        <w:t xml:space="preserve">Run 4-week A/B tests </w:t>
      </w:r>
      <w:r>
        <w:rPr>
          <w:color w:val="1F2430"/>
          <w:sz w:val="22"/>
          <w:szCs w:val="22"/>
        </w:rPr>
        <w:t xml:space="preserve">starting with hashtag count (2 vs 1/3), then format and posting time, before changing the content mix.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F2430"/>
          <w:sz w:val="22"/>
          <w:szCs w:val="22"/>
        </w:rPr>
        <w:t xml:space="preserve">Capture richer data </w:t>
      </w:r>
      <w:r>
        <w:rPr>
          <w:color w:val="1F2430"/>
          <w:sz w:val="22"/>
          <w:szCs w:val="22"/>
        </w:rPr>
        <w:t xml:space="preserve">(post ID, caption, posting hour, ad spend, follower count).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6B7280" w:sz="24"/>
              <w:bottom w:val="none"/>
              <w:right w:val="none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olor w:val="6B7280"/>
                <w:sz w:val="21"/>
                <w:szCs w:val="21"/>
              </w:rPr>
              <w:t xml:space="preserve">Data note.  </w:t>
            </w:r>
            <w:r>
              <w:rPr>
                <w:color w:val="1F2430"/>
                <w:sz w:val="21"/>
                <w:szCs w:val="21"/>
              </w:rPr>
              <w:t xml:space="preserve">The dataset has no captions or post IDs and shows about 137 records per day with unusually flat distributions, which suggests synthetic or aggregated data. Treat these results as a validated framework and confirm them on the brand's live Instagram Insights export.</w:t>
            </w:r>
          </w:p>
        </w:tc>
      </w:tr>
    </w:tbl>
    <w:sectPr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7"/>
        <w:szCs w:val="17"/>
      </w:rPr>
      <w:t xml:space="preserve">Sugar Cosmetics · Business Summary  ·  Page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C2185B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F243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2bc02e772e432dbd8eb8d5e6cbc1d8a7c00a44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Sugar Cosmetics · Business Summary</dc:title>
  <dc:creator>Suman</dc:creator>
  <cp:lastModifiedBy>Un-named</cp:lastModifiedBy>
  <cp:revision>1</cp:revision>
  <dcterms:created xsi:type="dcterms:W3CDTF">2026-10-16T05:31:46.060Z</dcterms:created>
  <dcterms:modified xsi:type="dcterms:W3CDTF">2026-10-16T05:31:46.060Z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