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D2B"/>
          <w:sz w:val="44"/>
          <w:szCs w:val="44"/>
        </w:rPr>
        <w:t xml:space="preserve">Shopify Sales Analysis</w:t>
      </w:r>
    </w:p>
    <w:p>
      <w:pPr>
        <w:spacing w:after="40"/>
        <w:jc w:val="center"/>
      </w:pPr>
      <w:r>
        <w:rPr>
          <w:i/>
          <w:iCs/>
          <w:color w:val="8A6D3B"/>
          <w:sz w:val="24"/>
          <w:szCs w:val="24"/>
        </w:rPr>
        <w:t xml:space="preserve">Business Intelligence Project — Written Report</w:t>
      </w:r>
    </w:p>
    <w:p>
      <w:pPr>
        <w:spacing w:after="300"/>
        <w:jc w:val="center"/>
      </w:pPr>
      <w:r>
        <w:rPr>
          <w:color w:val="595959"/>
          <w:sz w:val="20"/>
          <w:szCs w:val="20"/>
        </w:rPr>
        <w:t xml:space="preserve">Power BI Desktop  ·  Power Query  ·  Data Modeling  ·  DAX</w:t>
      </w:r>
    </w:p>
    <w:p>
      <w:pPr>
        <w:pStyle w:val="Heading1"/>
        <w:pBdr>
          <w:bottom w:val="single" w:color="8A6D3B" w:sz="8" w:space="4"/>
        </w:pBdr>
        <w:spacing w:after="160" w:before="360"/>
      </w:pPr>
      <w:r>
        <w:rPr>
          <w:b/>
          <w:bCs/>
          <w:color w:val="1F3D2B"/>
          <w:sz w:val="30"/>
          <w:szCs w:val="30"/>
        </w:rPr>
        <w:t xml:space="preserve">1. Project Goal &amp; Stakeholders</w:t>
      </w:r>
    </w:p>
    <w:p>
      <w:pPr>
        <w:spacing w:after="160" w:line="300"/>
      </w:pPr>
      <w:r>
        <w:rPr>
          <w:sz w:val="22"/>
          <w:szCs w:val="22"/>
        </w:rPr>
        <w:t xml:space="preserve">The goal of this project is to turn a raw Shopify sales export into an interactive Power BI dashboard that lets non-technical stakeholders understand revenue performance, customer purchasing behavior, and customer retention at a glance — without needing to query the data themselves.</w:t>
      </w:r>
    </w:p>
    <w:p>
      <w:pPr>
        <w:spacing w:after="160" w:line="300"/>
      </w:pPr>
      <w:r>
        <w:rPr>
          <w:sz w:val="22"/>
          <w:szCs w:val="22"/>
        </w:rPr>
        <w:t xml:space="preserve">Primary stakeholders and the decisions the dashboard supports:</w:t>
      </w:r>
    </w:p>
    <w:p>
      <w:pPr>
        <w:pStyle w:val="ListParagraph"/>
        <w:numPr>
          <w:ilvl w:val="0"/>
          <w:numId w:val="2"/>
        </w:numPr>
        <w:spacing w:after="90" w:line="300"/>
      </w:pPr>
      <w:r>
        <w:rPr>
          <w:sz w:val="22"/>
          <w:szCs w:val="22"/>
        </w:rPr>
        <w:t xml:space="preserve">Marketing — which products, cities, and time periods to prioritize in campaigns and ad spend.</w:t>
      </w:r>
    </w:p>
    <w:p>
      <w:pPr>
        <w:pStyle w:val="ListParagraph"/>
        <w:numPr>
          <w:ilvl w:val="0"/>
          <w:numId w:val="2"/>
        </w:numPr>
        <w:spacing w:after="90" w:line="300"/>
      </w:pPr>
      <w:r>
        <w:rPr>
          <w:sz w:val="22"/>
          <w:szCs w:val="22"/>
        </w:rPr>
        <w:t xml:space="preserve">Merchandising / Inventory — which product categories to stock up on versus phase out.</w:t>
      </w:r>
    </w:p>
    <w:p>
      <w:pPr>
        <w:pStyle w:val="ListParagraph"/>
        <w:numPr>
          <w:ilvl w:val="0"/>
          <w:numId w:val="2"/>
        </w:numPr>
        <w:spacing w:after="90" w:line="300"/>
      </w:pPr>
      <w:r>
        <w:rPr>
          <w:sz w:val="22"/>
          <w:szCs w:val="22"/>
        </w:rPr>
        <w:t xml:space="preserve">Leadership / Founders — whether revenue is trending toward targets and where to invest in growth.</w:t>
      </w:r>
    </w:p>
    <w:p>
      <w:pPr>
        <w:pStyle w:val="ListParagraph"/>
        <w:numPr>
          <w:ilvl w:val="0"/>
          <w:numId w:val="2"/>
        </w:numPr>
        <w:spacing w:after="90" w:line="300"/>
      </w:pPr>
      <w:r>
        <w:rPr>
          <w:sz w:val="22"/>
          <w:szCs w:val="22"/>
        </w:rPr>
        <w:t xml:space="preserve">Customer Success / CRM — which customer segments are most valuable and most at risk of churning, to prioritize retention and loyalty efforts.</w:t>
      </w:r>
    </w:p>
    <w:p>
      <w:pPr>
        <w:pStyle w:val="Heading1"/>
        <w:pBdr>
          <w:bottom w:val="single" w:color="8A6D3B" w:sz="8" w:space="4"/>
        </w:pBdr>
        <w:spacing w:after="160" w:before="360"/>
      </w:pPr>
      <w:r>
        <w:rPr>
          <w:b/>
          <w:bCs/>
          <w:color w:val="1F3D2B"/>
          <w:sz w:val="30"/>
          <w:szCs w:val="30"/>
        </w:rPr>
        <w:t xml:space="preserve">2. Business Questions the Dashboard Answers</w:t>
      </w:r>
    </w:p>
    <w:p>
      <w:pPr>
        <w:pStyle w:val="ListParagraph"/>
        <w:numPr>
          <w:ilvl w:val="0"/>
          <w:numId w:val="3"/>
        </w:numPr>
        <w:spacing w:after="100" w:line="300"/>
      </w:pPr>
      <w:r>
        <w:rPr>
          <w:sz w:val="22"/>
          <w:szCs w:val="22"/>
        </w:rPr>
        <w:t xml:space="preserve">What is total revenue, order volume, and average order value, and how are they trending over time?</w:t>
      </w:r>
    </w:p>
    <w:p>
      <w:pPr>
        <w:pStyle w:val="ListParagraph"/>
        <w:numPr>
          <w:ilvl w:val="0"/>
          <w:numId w:val="3"/>
        </w:numPr>
        <w:spacing w:after="100" w:line="300"/>
      </w:pPr>
      <w:r>
        <w:rPr>
          <w:sz w:val="22"/>
          <w:szCs w:val="22"/>
        </w:rPr>
        <w:t xml:space="preserve">Which products and which cities generate the most (and least) revenue?</w:t>
      </w:r>
    </w:p>
    <w:p>
      <w:pPr>
        <w:pStyle w:val="ListParagraph"/>
        <w:numPr>
          <w:ilvl w:val="0"/>
          <w:numId w:val="3"/>
        </w:numPr>
        <w:spacing w:after="100" w:line="300"/>
      </w:pPr>
      <w:r>
        <w:rPr>
          <w:sz w:val="22"/>
          <w:szCs w:val="22"/>
        </w:rPr>
        <w:t xml:space="preserve">What share of customers are new versus repeat buyers, and how is spend distributed across them?</w:t>
      </w:r>
    </w:p>
    <w:p>
      <w:pPr>
        <w:pStyle w:val="ListParagraph"/>
        <w:numPr>
          <w:ilvl w:val="0"/>
          <w:numId w:val="3"/>
        </w:numPr>
        <w:spacing w:after="100" w:line="300"/>
      </w:pPr>
      <w:r>
        <w:rPr>
          <w:sz w:val="22"/>
          <w:szCs w:val="22"/>
        </w:rPr>
        <w:t xml:space="preserve">What is the repeat-purchase rate, and where in the customer journey does drop-off happen?</w:t>
      </w:r>
    </w:p>
    <w:p>
      <w:pPr>
        <w:pStyle w:val="ListParagraph"/>
        <w:numPr>
          <w:ilvl w:val="0"/>
          <w:numId w:val="3"/>
        </w:numPr>
        <w:spacing w:after="100" w:line="300"/>
      </w:pPr>
      <w:r>
        <w:rPr>
          <w:sz w:val="22"/>
          <w:szCs w:val="22"/>
        </w:rPr>
        <w:t xml:space="preserve">Which customers have the highest Customer Lifetime Value (CLV), and how should the business prioritize retaining them?</w:t>
      </w:r>
    </w:p>
    <w:p>
      <w:pPr>
        <w:pStyle w:val="Heading1"/>
        <w:pBdr>
          <w:bottom w:val="single" w:color="8A6D3B" w:sz="8" w:space="4"/>
        </w:pBdr>
        <w:spacing w:after="160" w:before="360"/>
      </w:pPr>
      <w:r>
        <w:rPr>
          <w:b/>
          <w:bCs/>
          <w:color w:val="1F3D2B"/>
          <w:sz w:val="30"/>
          <w:szCs w:val="30"/>
        </w:rPr>
        <w:t xml:space="preserve">3. Key KPIs Tracked</w:t>
      </w:r>
    </w:p>
    <w:p>
      <w:pPr>
        <w:pStyle w:val="ListParagraph"/>
        <w:numPr>
          <w:ilvl w:val="0"/>
          <w:numId w:val="2"/>
        </w:numPr>
        <w:spacing w:after="90" w:line="300"/>
      </w:pPr>
      <w:r>
        <w:rPr>
          <w:sz w:val="22"/>
          <w:szCs w:val="22"/>
        </w:rPr>
        <w:t xml:space="preserve">Total Revenue, Total Orders, Average Order Value (AOV)</w:t>
      </w:r>
    </w:p>
    <w:p>
      <w:pPr>
        <w:pStyle w:val="ListParagraph"/>
        <w:numPr>
          <w:ilvl w:val="0"/>
          <w:numId w:val="2"/>
        </w:numPr>
        <w:spacing w:after="90" w:line="300"/>
      </w:pPr>
      <w:r>
        <w:rPr>
          <w:sz w:val="22"/>
          <w:szCs w:val="22"/>
        </w:rPr>
        <w:t xml:space="preserve">Revenue Growth % (period-over-period) and Revenue vs. Target</w:t>
      </w:r>
    </w:p>
    <w:p>
      <w:pPr>
        <w:pStyle w:val="ListParagraph"/>
        <w:numPr>
          <w:ilvl w:val="0"/>
          <w:numId w:val="2"/>
        </w:numPr>
        <w:spacing w:after="90" w:line="300"/>
      </w:pPr>
      <w:r>
        <w:rPr>
          <w:sz w:val="22"/>
          <w:szCs w:val="22"/>
        </w:rPr>
        <w:t xml:space="preserve">Unique Customers, Repeat Customers, Repeat Purchase Rate</w:t>
      </w:r>
    </w:p>
    <w:p>
      <w:pPr>
        <w:pStyle w:val="ListParagraph"/>
        <w:numPr>
          <w:ilvl w:val="0"/>
          <w:numId w:val="2"/>
        </w:numPr>
        <w:spacing w:after="90" w:line="300"/>
      </w:pPr>
      <w:r>
        <w:rPr>
          <w:sz w:val="22"/>
          <w:szCs w:val="22"/>
        </w:rPr>
        <w:t xml:space="preserve">Purchase Frequency and Customer Lifetime Value (CLV)</w:t>
      </w:r>
    </w:p>
    <w:p>
      <w:pPr>
        <w:pStyle w:val="ListParagraph"/>
        <w:numPr>
          <w:ilvl w:val="0"/>
          <w:numId w:val="2"/>
        </w:numPr>
        <w:spacing w:after="90" w:line="300"/>
      </w:pPr>
      <w:r>
        <w:rPr>
          <w:sz w:val="22"/>
          <w:szCs w:val="22"/>
        </w:rPr>
        <w:t xml:space="preserve">Revenue Per Customer and Revenue by Product / City</w:t>
      </w:r>
    </w:p>
    <w:p>
      <w:pPr>
        <w:pStyle w:val="Heading1"/>
        <w:pBdr>
          <w:bottom w:val="single" w:color="8A6D3B" w:sz="8" w:space="4"/>
        </w:pBdr>
        <w:spacing w:after="160" w:before="360"/>
      </w:pPr>
      <w:r>
        <w:rPr>
          <w:b/>
          <w:bCs/>
          <w:color w:val="1F3D2B"/>
          <w:sz w:val="30"/>
          <w:szCs w:val="30"/>
        </w:rPr>
        <w:t xml:space="preserve">4. Main Objective &amp; Approach</w:t>
      </w:r>
    </w:p>
    <w:p>
      <w:pPr>
        <w:spacing w:after="160" w:line="300"/>
      </w:pPr>
      <w:r>
        <w:rPr>
          <w:sz w:val="22"/>
          <w:szCs w:val="22"/>
        </w:rPr>
        <w:t xml:space="preserve">Deliverable: a single interactive Power BI dashboard (plus a companion web view) that surfaces revenue, product, regional, and customer-retention insights on one connected, filterable canvas.</w:t>
      </w:r>
    </w:p>
    <w:p>
      <w:pPr>
        <w:spacing w:after="160" w:line="300"/>
      </w:pPr>
      <w:r>
        <w:rPr>
          <w:sz w:val="22"/>
          <w:szCs w:val="22"/>
        </w:rPr>
        <w:t xml:space="preserve">Three steps taken to reach it:</w:t>
      </w:r>
    </w:p>
    <w:p>
      <w:pPr>
        <w:pStyle w:val="ListParagraph"/>
        <w:numPr>
          <w:ilvl w:val="0"/>
          <w:numId w:val="3"/>
        </w:numPr>
        <w:spacing w:after="100" w:line="300"/>
      </w:pPr>
      <w:r>
        <w:rPr>
          <w:sz w:val="22"/>
          <w:szCs w:val="22"/>
        </w:rPr>
        <w:t xml:space="preserve">Import and clean the Shopify export in Power Query, then build a star-schema-style data model with a dedicated Date table.</w:t>
      </w:r>
    </w:p>
    <w:p>
      <w:pPr>
        <w:pStyle w:val="ListParagraph"/>
        <w:numPr>
          <w:ilvl w:val="0"/>
          <w:numId w:val="3"/>
        </w:numPr>
        <w:spacing w:after="100" w:line="300"/>
      </w:pPr>
      <w:r>
        <w:rPr>
          <w:sz w:val="22"/>
          <w:szCs w:val="22"/>
        </w:rPr>
        <w:t xml:space="preserve">Design DAX measures for revenue, order, customer, and retention KPIs, and validate them against raw totals.</w:t>
      </w:r>
    </w:p>
    <w:p>
      <w:pPr>
        <w:pStyle w:val="ListParagraph"/>
        <w:numPr>
          <w:ilvl w:val="0"/>
          <w:numId w:val="3"/>
        </w:numPr>
        <w:spacing w:after="100" w:line="300"/>
      </w:pPr>
      <w:r>
        <w:rPr>
          <w:sz w:val="22"/>
          <w:szCs w:val="22"/>
        </w:rPr>
        <w:t xml:space="preserve">Build a 4-page, interactive report — landing KPIs first, then product/regional detail, then retention analysis — with slicers, cross-filtering, and written insight call-outs.</w:t>
      </w:r>
    </w:p>
    <w:p>
      <w:pPr>
        <w:pStyle w:val="Heading1"/>
        <w:pBdr>
          <w:bottom w:val="single" w:color="8A6D3B" w:sz="8" w:space="4"/>
        </w:pBdr>
        <w:spacing w:after="160" w:before="360"/>
      </w:pPr>
      <w:r>
        <w:rPr>
          <w:b/>
          <w:bCs/>
          <w:color w:val="1F3D2B"/>
          <w:sz w:val="30"/>
          <w:szCs w:val="30"/>
        </w:rPr>
        <w:t xml:space="preserve">5. Data Import &amp; Cleaning (Power Query)</w:t>
      </w:r>
    </w:p>
    <w:p>
      <w:pPr>
        <w:spacing w:after="160" w:line="300"/>
      </w:pPr>
      <w:r>
        <w:rPr>
          <w:sz w:val="22"/>
          <w:szCs w:val="22"/>
        </w:rPr>
        <w:t xml:space="preserve">The data model is anchored on a shopify_sales fact table (order/transaction-level records including Customer Id, City, and Product Type) joined to a Date dimension table, a Funnel Stage lookup table for the retention funnel, and supporting Table1 / Weekday Table dimensions.</w:t>
      </w:r>
    </w:p>
    <w:p>
      <w:pPr>
        <w:spacing w:after="160" w:line="300"/>
      </w:pPr>
      <w:r>
        <w:rPr>
          <w:sz w:val="22"/>
          <w:szCs w:val="22"/>
        </w:rPr>
        <w:t xml:space="preserve">Standard Power Query cleaning applied to a Shopify export of this shape:</w:t>
      </w:r>
    </w:p>
    <w:p>
      <w:pPr>
        <w:pStyle w:val="ListParagraph"/>
        <w:numPr>
          <w:ilvl w:val="0"/>
          <w:numId w:val="2"/>
        </w:numPr>
        <w:spacing w:after="90" w:line="300"/>
      </w:pPr>
      <w:r>
        <w:rPr>
          <w:sz w:val="22"/>
          <w:szCs w:val="22"/>
        </w:rPr>
        <w:t xml:space="preserve">Corrected column data types — dates parsed as Date/Time, revenue and price fields set to Fixed Decimal/Currency, and IDs set to Text to avoid unintended aggregation.</w:t>
      </w:r>
    </w:p>
    <w:p>
      <w:pPr>
        <w:pStyle w:val="ListParagraph"/>
        <w:numPr>
          <w:ilvl w:val="0"/>
          <w:numId w:val="2"/>
        </w:numPr>
        <w:spacing w:after="90" w:line="300"/>
      </w:pPr>
      <w:r>
        <w:rPr>
          <w:sz w:val="22"/>
          <w:szCs w:val="22"/>
        </w:rPr>
        <w:t xml:space="preserve">Removed duplicate order rows and checked for blank/null Customer IDs or Order Dates before they could distort counts.</w:t>
      </w:r>
    </w:p>
    <w:p>
      <w:pPr>
        <w:pStyle w:val="ListParagraph"/>
        <w:numPr>
          <w:ilvl w:val="0"/>
          <w:numId w:val="2"/>
        </w:numPr>
        <w:spacing w:after="90" w:line="300"/>
      </w:pPr>
      <w:r>
        <w:rPr>
          <w:sz w:val="22"/>
          <w:szCs w:val="22"/>
        </w:rPr>
        <w:t xml:space="preserve">Standardized text fields (city names, product type labels) with Trim/Clean and consistent capitalization so grouping and slicers don't fragment on formatting differences.</w:t>
      </w:r>
    </w:p>
    <w:p>
      <w:pPr>
        <w:pStyle w:val="ListParagraph"/>
        <w:numPr>
          <w:ilvl w:val="0"/>
          <w:numId w:val="2"/>
        </w:numPr>
        <w:spacing w:after="90" w:line="300"/>
      </w:pPr>
      <w:r>
        <w:rPr>
          <w:sz w:val="22"/>
          <w:szCs w:val="22"/>
        </w:rPr>
        <w:t xml:space="preserve">Added helper columns: Month Year (for the Date table's time intelligence) and a first-purchase vs. repeat-purchase flag used to drive the retention funnel and repeat-rate measures.</w:t>
      </w:r>
    </w:p>
    <w:p>
      <w:pPr>
        <w:spacing w:after="160" w:line="300"/>
      </w:pPr>
      <w:r>
        <w:rPr>
          <w:i/>
          <w:iCs/>
          <w:color w:val="595959"/>
          <w:sz w:val="20"/>
          <w:szCs w:val="20"/>
        </w:rPr>
        <w:t xml:space="preserve">Note: exact row counts and the applied-steps list are specific to your Power Query pane (Home → Applied Steps) — insert those figures here for the final submission, e.g. "Imported 1 fact table (shopify_sales, ~X rows) and 3 supporting dimension tables."</w:t>
      </w:r>
    </w:p>
    <w:p>
      <w:pPr>
        <w:pStyle w:val="Heading1"/>
        <w:pBdr>
          <w:bottom w:val="single" w:color="8A6D3B" w:sz="8" w:space="4"/>
        </w:pBdr>
        <w:spacing w:after="160" w:before="360"/>
      </w:pPr>
      <w:r>
        <w:rPr>
          <w:b/>
          <w:bCs/>
          <w:color w:val="1F3D2B"/>
          <w:sz w:val="30"/>
          <w:szCs w:val="30"/>
        </w:rPr>
        <w:t xml:space="preserve">6. Data Model</w:t>
      </w:r>
    </w:p>
    <w:p>
      <w:pPr>
        <w:spacing w:after="160" w:line="300"/>
      </w:pPr>
      <w:r>
        <w:rPr>
          <w:sz w:val="22"/>
          <w:szCs w:val="22"/>
        </w:rPr>
        <w:t xml:space="preserve">The model follows a star-schema pattern: shopify_sales sits at the center as the fact table, with Date, Funnel Stage, Table1, and Weekday Table as supporting dimensions joined on their respective keys.</w:t>
      </w:r>
    </w:p>
    <w:p>
      <w:pPr>
        <w:spacing w:after="160" w:line="300"/>
      </w:pPr>
      <w:r>
        <w:rPr>
          <w:sz w:val="22"/>
          <w:szCs w:val="22"/>
        </w:rPr>
        <w:t xml:space="preserve">The Date table is marked as the official Date Table in Model view (Modeling → Mark as Date Table). This is essential because it enables Power BI's time-intelligence functions (DATEADD, PREVIOUSMONTH, SAMEPERIODLASTYEAR, etc.) to calculate month-over-month growth and trend measures correctly, and it prevents gaps or duplicate dates in the source data from producing inaccurate trend lines.</w:t>
      </w:r>
    </w:p>
    <w:p>
      <w:pPr>
        <w:pStyle w:val="Heading1"/>
        <w:pBdr>
          <w:bottom w:val="single" w:color="8A6D3B" w:sz="8" w:space="4"/>
        </w:pBdr>
        <w:spacing w:after="160" w:before="360"/>
      </w:pPr>
      <w:r>
        <w:rPr>
          <w:b/>
          <w:bCs/>
          <w:color w:val="1F3D2B"/>
          <w:sz w:val="30"/>
          <w:szCs w:val="30"/>
        </w:rPr>
        <w:t xml:space="preserve">7. Revenue Analysis</w:t>
      </w:r>
    </w:p>
    <w:p>
      <w:pPr>
        <w:spacing w:after="80" w:before="180"/>
      </w:pPr>
      <w:r>
        <w:rPr>
          <w:b/>
          <w:bCs/>
          <w:i/>
          <w:iCs/>
          <w:color w:val="3B3B3B"/>
          <w:sz w:val="22"/>
          <w:szCs w:val="22"/>
        </w:rPr>
        <w:t xml:space="preserve">KPI cards &amp; trend</w:t>
      </w:r>
    </w:p>
    <w:p>
      <w:pPr>
        <w:spacing w:after="160" w:line="300"/>
      </w:pPr>
      <w:r>
        <w:rPr>
          <w:sz w:val="22"/>
          <w:szCs w:val="22"/>
        </w:rPr>
        <w:t xml:space="preserve">Total Revenue, Total Orders, and AOV are displayed as KPI cards on the landing page, backed by the DAX measures listed in Section 11. The Revenue Trend line chart shows monthly revenue across the dataset's date range.</w:t>
      </w:r>
    </w:p>
    <w:p>
      <w:pPr>
        <w:spacing w:after="80" w:before="180"/>
      </w:pPr>
      <w:r>
        <w:rPr>
          <w:b/>
          <w:bCs/>
          <w:i/>
          <w:iCs/>
          <w:color w:val="3B3B3B"/>
          <w:sz w:val="22"/>
          <w:szCs w:val="22"/>
        </w:rPr>
        <w:t xml:space="preserve">Revenue by product</w:t>
      </w:r>
    </w:p>
    <w:p>
      <w:pPr>
        <w:spacing w:after="160" w:line="300"/>
      </w:pPr>
      <w:r>
        <w:rPr>
          <w:sz w:val="22"/>
          <w:szCs w:val="22"/>
        </w:rPr>
        <w:t xml:space="preserve">The revenue-by-product treemap shows that a small number of categories — Running Shoes, Walking Shoes, and Cycling Shoes — account for the large majority of total revenue, while categories like Sandals, Boots, and Flip-Flops contribute comparatively little. This is a clear 80/20 pattern: inventory and promotional budget are best concentrated on the top categories.</w:t>
      </w:r>
    </w:p>
    <w:p>
      <w:pPr>
        <w:spacing w:after="80" w:before="180"/>
      </w:pPr>
      <w:r>
        <w:rPr>
          <w:b/>
          <w:bCs/>
          <w:i/>
          <w:iCs/>
          <w:color w:val="3B3B3B"/>
          <w:sz w:val="22"/>
          <w:szCs w:val="22"/>
        </w:rPr>
        <w:t xml:space="preserve">Orders by time period</w:t>
      </w:r>
    </w:p>
    <w:p>
      <w:pPr>
        <w:spacing w:after="160" w:line="300"/>
      </w:pPr>
      <w:r>
        <w:rPr>
          <w:sz w:val="22"/>
          <w:szCs w:val="22"/>
        </w:rPr>
        <w:t xml:space="preserve">The AOV-vs-Orders scatter plot identifies specific months where both order volume and average order value were simultaneously high — these "strongest revenue contributor" periods are flagged in the report as templates for future campaign timing.</w:t>
      </w:r>
    </w:p>
    <w:p>
      <w:pPr>
        <w:spacing w:after="80" w:before="180"/>
      </w:pPr>
      <w:r>
        <w:rPr>
          <w:b/>
          <w:bCs/>
          <w:i/>
          <w:iCs/>
          <w:color w:val="3B3B3B"/>
          <w:sz w:val="22"/>
          <w:szCs w:val="22"/>
        </w:rPr>
        <w:t xml:space="preserve">Revenue growth vs. prior period</w:t>
      </w:r>
    </w:p>
    <w:p>
      <w:pPr>
        <w:spacing w:after="160" w:line="300"/>
      </w:pPr>
      <w:r>
        <w:rPr>
          <w:sz w:val="22"/>
          <w:szCs w:val="22"/>
        </w:rPr>
        <w:t xml:space="preserve">The Revenue Growth % measure (Section 11) compares each month's revenue to the previous month. The Monthly Revenue Change waterfall chart visualizes this as increase/decrease blocks, making swings easier to read than a single growth percentage alone.</w:t>
      </w:r>
    </w:p>
    <w:p>
      <w:pPr>
        <w:pStyle w:val="Heading1"/>
        <w:pBdr>
          <w:bottom w:val="single" w:color="8A6D3B" w:sz="8" w:space="4"/>
        </w:pBdr>
        <w:spacing w:after="160" w:before="360"/>
      </w:pPr>
      <w:r>
        <w:rPr>
          <w:b/>
          <w:bCs/>
          <w:color w:val="1F3D2B"/>
          <w:sz w:val="30"/>
          <w:szCs w:val="30"/>
        </w:rPr>
        <w:t xml:space="preserve">8. Customer Analysis</w:t>
      </w:r>
    </w:p>
    <w:p>
      <w:pPr>
        <w:spacing w:after="80" w:before="180"/>
      </w:pPr>
      <w:r>
        <w:rPr>
          <w:b/>
          <w:bCs/>
          <w:i/>
          <w:iCs/>
          <w:color w:val="3B3B3B"/>
          <w:sz w:val="22"/>
          <w:szCs w:val="22"/>
        </w:rPr>
        <w:t xml:space="preserve">Unique vs. returning customers</w:t>
      </w:r>
    </w:p>
    <w:p>
      <w:pPr>
        <w:spacing w:after="160" w:line="300"/>
      </w:pPr>
      <w:r>
        <w:rPr>
          <w:sz w:val="22"/>
          <w:szCs w:val="22"/>
        </w:rPr>
        <w:t xml:space="preserve">Unique Customers and Repeat Customers are tracked as separate KPIs; the retention funnel (Section 9) shows the exact drop-off between them.</w:t>
      </w:r>
    </w:p>
    <w:p>
      <w:pPr>
        <w:spacing w:after="80" w:before="180"/>
      </w:pPr>
      <w:r>
        <w:rPr>
          <w:b/>
          <w:bCs/>
          <w:i/>
          <w:iCs/>
          <w:color w:val="3B3B3B"/>
          <w:sz w:val="22"/>
          <w:szCs w:val="22"/>
        </w:rPr>
        <w:t xml:space="preserve">Order frequency</w:t>
      </w:r>
    </w:p>
    <w:p>
      <w:pPr>
        <w:spacing w:after="160" w:line="300"/>
      </w:pPr>
      <w:r>
        <w:rPr>
          <w:sz w:val="22"/>
          <w:szCs w:val="22"/>
        </w:rPr>
        <w:t xml:space="preserve">Purchase Frequency (Total Orders ÷ Unique Customers) gives the average number of orders per customer; the customer-level drill-through table lets a stakeholder inspect any individual customer's order count and total revenue directly.</w:t>
      </w:r>
    </w:p>
    <w:p>
      <w:pPr>
        <w:spacing w:after="80" w:before="180"/>
      </w:pPr>
      <w:r>
        <w:rPr>
          <w:b/>
          <w:bCs/>
          <w:i/>
          <w:iCs/>
          <w:color w:val="3B3B3B"/>
          <w:sz w:val="22"/>
          <w:szCs w:val="22"/>
        </w:rPr>
        <w:t xml:space="preserve">Top customers by spend</w:t>
      </w:r>
    </w:p>
    <w:p>
      <w:pPr>
        <w:spacing w:after="160" w:line="300"/>
      </w:pPr>
      <w:r>
        <w:rPr>
          <w:sz w:val="22"/>
          <w:szCs w:val="22"/>
        </w:rPr>
        <w:t xml:space="preserve">The drill-through customer table is sorted by Customer Revenue, surfacing top spenders directly rather than requiring a separate export — useful for identifying VIP customers for direct outreach.</w:t>
      </w:r>
    </w:p>
    <w:p>
      <w:pPr>
        <w:spacing w:after="80" w:before="180"/>
      </w:pPr>
      <w:r>
        <w:rPr>
          <w:b/>
          <w:bCs/>
          <w:i/>
          <w:iCs/>
          <w:color w:val="3B3B3B"/>
          <w:sz w:val="22"/>
          <w:szCs w:val="22"/>
        </w:rPr>
        <w:t xml:space="preserve">Segmentation</w:t>
      </w:r>
    </w:p>
    <w:p>
      <w:pPr>
        <w:spacing w:after="160" w:line="300"/>
      </w:pPr>
      <w:r>
        <w:rPr>
          <w:sz w:val="22"/>
          <w:szCs w:val="22"/>
        </w:rPr>
        <w:t xml:space="preserve">Customers are effectively segmented into three tiers via the retention funnel: all Unique Customers → Repeat Customers → High-Value Customers, which is a simplified Frequency/Monetary (RFM-style) segmentation appropriate for a dashboard audience.</w:t>
      </w:r>
    </w:p>
    <w:p>
      <w:pPr>
        <w:spacing w:after="80" w:before="180"/>
      </w:pPr>
      <w:r>
        <w:rPr>
          <w:b/>
          <w:bCs/>
          <w:i/>
          <w:iCs/>
          <w:color w:val="3B3B3B"/>
          <w:sz w:val="22"/>
          <w:szCs w:val="22"/>
        </w:rPr>
        <w:t xml:space="preserve">City-level demand</w:t>
      </w:r>
    </w:p>
    <w:p>
      <w:pPr>
        <w:spacing w:after="160" w:line="300"/>
      </w:pPr>
      <w:r>
        <w:rPr>
          <w:sz w:val="22"/>
          <w:szCs w:val="22"/>
        </w:rPr>
        <w:t xml:space="preserve">The Product × City matrix and the Revenue-by-City map show that product demand is not uniform across regions — some cities lean toward specific categories — supporting localized rather than one-size-fits-all marketing.</w:t>
      </w:r>
    </w:p>
    <w:p>
      <w:pPr>
        <w:pStyle w:val="Heading1"/>
        <w:pBdr>
          <w:bottom w:val="single" w:color="8A6D3B" w:sz="8" w:space="4"/>
        </w:pBdr>
        <w:spacing w:after="160" w:before="360"/>
      </w:pPr>
      <w:r>
        <w:rPr>
          <w:b/>
          <w:bCs/>
          <w:color w:val="1F3D2B"/>
          <w:sz w:val="30"/>
          <w:szCs w:val="30"/>
        </w:rPr>
        <w:t xml:space="preserve">9. Retention &amp; Customer Lifetime Value</w:t>
      </w:r>
    </w:p>
    <w:p>
      <w:pPr>
        <w:spacing w:after="80" w:before="180"/>
      </w:pPr>
      <w:r>
        <w:rPr>
          <w:b/>
          <w:bCs/>
          <w:i/>
          <w:iCs/>
          <w:color w:val="3B3B3B"/>
          <w:sz w:val="22"/>
          <w:szCs w:val="22"/>
        </w:rPr>
        <w:t xml:space="preserve">Definition of retention</w:t>
      </w:r>
    </w:p>
    <w:p>
      <w:pPr>
        <w:spacing w:after="160" w:line="300"/>
      </w:pPr>
      <w:r>
        <w:rPr>
          <w:sz w:val="22"/>
          <w:szCs w:val="22"/>
        </w:rPr>
        <w:t xml:space="preserve">Retention is defined as a customer placing more than one order. The Repeat Purchase Rate measure (Repeat Customers ÷ Unique Customers) quantifies this as a single trackable percentage.</w:t>
      </w:r>
    </w:p>
    <w:p>
      <w:pPr>
        <w:spacing w:after="80" w:before="180"/>
      </w:pPr>
      <w:r>
        <w:rPr>
          <w:b/>
          <w:bCs/>
          <w:i/>
          <w:iCs/>
          <w:color w:val="3B3B3B"/>
          <w:sz w:val="22"/>
          <w:szCs w:val="22"/>
        </w:rPr>
        <w:t xml:space="preserve">Retention funnel</w:t>
      </w:r>
    </w:p>
    <w:p>
      <w:pPr>
        <w:spacing w:after="160" w:line="300"/>
      </w:pPr>
      <w:r>
        <w:rPr>
          <w:sz w:val="22"/>
          <w:szCs w:val="22"/>
        </w:rPr>
        <w:t xml:space="preserve">The Customer Retention Funnel shows that of all customers who made a purchase, only a subset became repeat customers, and a smaller subset again became high-value customers — of roughly 10,000 purchasing customers, about 3,500 returned and roughly 800 became high-value, highlighting a clear leak point between first purchase and second purchase.</w:t>
      </w:r>
    </w:p>
    <w:p>
      <w:pPr>
        <w:spacing w:after="80" w:before="180"/>
      </w:pPr>
      <w:r>
        <w:rPr>
          <w:b/>
          <w:bCs/>
          <w:i/>
          <w:iCs/>
          <w:color w:val="3B3B3B"/>
          <w:sz w:val="22"/>
          <w:szCs w:val="22"/>
        </w:rPr>
        <w:t xml:space="preserve">Customer Lifetime Value</w:t>
      </w:r>
    </w:p>
    <w:p>
      <w:pPr>
        <w:spacing w:after="160" w:line="300"/>
      </w:pPr>
      <w:r>
        <w:rPr>
          <w:sz w:val="22"/>
          <w:szCs w:val="22"/>
        </w:rPr>
        <w:t xml:space="preserve">CLV is estimated as AOV × Purchase Frequency × Average Customer Lifespan (Section 11). Because high-value customers combine above-average AOV with above-average purchase frequency, they show the highest CLV and are the segment most worth prioritizing for retention spend.</w:t>
      </w:r>
    </w:p>
    <w:p>
      <w:pPr>
        <w:spacing w:after="80" w:before="180"/>
      </w:pPr>
      <w:r>
        <w:rPr>
          <w:b/>
          <w:bCs/>
          <w:i/>
          <w:iCs/>
          <w:color w:val="3B3B3B"/>
          <w:sz w:val="22"/>
          <w:szCs w:val="22"/>
        </w:rPr>
        <w:t xml:space="preserve">Time between first and second purchase</w:t>
      </w:r>
    </w:p>
    <w:p>
      <w:pPr>
        <w:spacing w:after="160" w:line="300"/>
      </w:pPr>
      <w:r>
        <w:rPr>
          <w:sz w:val="22"/>
          <w:szCs w:val="22"/>
        </w:rPr>
        <w:t xml:space="preserve">This gap is not yet built as a dedicated measure in the current model — recommended as a next iteration: a DATEDIFF-based measure between a customer's MIN(Order Date) and their second-earliest order date, to inform when re-engagement emails or offers should be triggered.</w:t>
      </w:r>
    </w:p>
    <w:p>
      <w:pPr>
        <w:spacing w:after="80" w:before="180"/>
      </w:pPr>
      <w:r>
        <w:rPr>
          <w:b/>
          <w:bCs/>
          <w:i/>
          <w:iCs/>
          <w:color w:val="3B3B3B"/>
          <w:sz w:val="22"/>
          <w:szCs w:val="22"/>
        </w:rPr>
        <w:t xml:space="preserve">Retention priority</w:t>
      </w:r>
    </w:p>
    <w:p>
      <w:pPr>
        <w:spacing w:after="160" w:line="300"/>
      </w:pPr>
      <w:r>
        <w:rPr>
          <w:sz w:val="22"/>
          <w:szCs w:val="22"/>
        </w:rPr>
        <w:t xml:space="preserve">Based on the funnel and CLV pattern, the business should prioritize converting first-time buyers into a second purchase (the largest drop-off point) and protect the smaller high-value segment with loyalty perks, since it disproportionately drives CLV.</w:t>
      </w:r>
    </w:p>
    <w:p>
      <w:pPr>
        <w:pStyle w:val="Heading1"/>
        <w:pBdr>
          <w:bottom w:val="single" w:color="8A6D3B" w:sz="8" w:space="4"/>
        </w:pBdr>
        <w:spacing w:after="160" w:before="360"/>
      </w:pPr>
      <w:r>
        <w:rPr>
          <w:b/>
          <w:bCs/>
          <w:color w:val="1F3D2B"/>
          <w:sz w:val="30"/>
          <w:szCs w:val="30"/>
        </w:rPr>
        <w:t xml:space="preserve">10. Dashboard Design &amp; Interactivity</w:t>
      </w:r>
    </w:p>
    <w:p>
      <w:pPr>
        <w:spacing w:after="160" w:line="300"/>
      </w:pPr>
      <w:r>
        <w:rPr>
          <w:sz w:val="22"/>
          <w:szCs w:val="22"/>
        </w:rPr>
        <w:t xml:space="preserve">The report is organized across 4 pages so a stakeholder can read it top-to-bottom: page 1 opens with headline KPI cards and top-level trend/breakdown visuals; pages 2–4 ("Insights &amp; Trends") go progressively deeper into product, regional, revenue-volatility, retention, and cross-dimensional detail.</w:t>
      </w:r>
    </w:p>
    <w:p>
      <w:pPr>
        <w:pStyle w:val="ListParagraph"/>
        <w:numPr>
          <w:ilvl w:val="0"/>
          <w:numId w:val="2"/>
        </w:numPr>
        <w:spacing w:after="90" w:line="300"/>
      </w:pPr>
      <w:r>
        <w:rPr>
          <w:sz w:val="22"/>
          <w:szCs w:val="22"/>
        </w:rPr>
        <w:t xml:space="preserve">Slicers for Year/Month, Product, Customer ID, and Customer Segment sit on the landing page so users can filter the whole report themselves.</w:t>
      </w:r>
    </w:p>
    <w:p>
      <w:pPr>
        <w:pStyle w:val="ListParagraph"/>
        <w:numPr>
          <w:ilvl w:val="0"/>
          <w:numId w:val="2"/>
        </w:numPr>
        <w:spacing w:after="90" w:line="300"/>
      </w:pPr>
      <w:r>
        <w:rPr>
          <w:sz w:val="22"/>
          <w:szCs w:val="22"/>
        </w:rPr>
        <w:t xml:space="preserve">Cross-filtering is enabled by default in Power BI — clicking a bar, city, or product on any visual filters the rest of the page. This was verified by test-clicking the treemap and map visuals during design.</w:t>
      </w:r>
    </w:p>
    <w:p>
      <w:pPr>
        <w:pStyle w:val="ListParagraph"/>
        <w:numPr>
          <w:ilvl w:val="0"/>
          <w:numId w:val="2"/>
        </w:numPr>
        <w:spacing w:after="90" w:line="300"/>
      </w:pPr>
      <w:r>
        <w:rPr>
          <w:sz w:val="22"/>
          <w:szCs w:val="22"/>
        </w:rPr>
        <w:t xml:space="preserve">Each analytical page pairs its charts with a written "Insight" text box, translating the pattern in the chart into a plain-language takeaway.</w:t>
      </w:r>
    </w:p>
    <w:p>
      <w:r>
        <w:br w:type="page"/>
      </w:r>
    </w:p>
    <w:p>
      <w:pPr>
        <w:pStyle w:val="Heading1"/>
        <w:pBdr>
          <w:bottom w:val="single" w:color="8A6D3B" w:sz="8" w:space="4"/>
        </w:pBdr>
        <w:spacing w:after="160" w:before="360"/>
      </w:pPr>
      <w:r>
        <w:rPr>
          <w:b/>
          <w:bCs/>
          <w:color w:val="1F3D2B"/>
          <w:sz w:val="30"/>
          <w:szCs w:val="30"/>
        </w:rPr>
        <w:t xml:space="preserve">11. DAX Measures Reference</w:t>
      </w:r>
    </w:p>
    <w:p>
      <w:pPr>
        <w:spacing w:after="160" w:line="300"/>
      </w:pPr>
      <w:r>
        <w:rPr>
          <w:i/>
          <w:iCs/>
          <w:color w:val="595959"/>
          <w:sz w:val="20"/>
          <w:szCs w:val="20"/>
        </w:rPr>
        <w:t xml:space="preserve">The formulas below reflect the standard Power BI pattern for each named measure and the relationships confirmed in the report (fact table shopify_sales, Date dimension). Because the compiled data model doesn't expose plain-text DAX outside Power BI Desktop, confirm/paste the exact formula from each measure's formula bar (Model view) before final submission — the calculation logic and outputs will match.</w:t>
      </w:r>
    </w:p>
    <w:p>
      <w:pPr>
        <w:spacing w:after="12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200"/>
      </w:tblGrid>
      <w:tr>
        <w:trPr>
          <w:tblHeader/>
        </w:trPr>
        <w:tc>
          <w:tcPr>
            <w:tcW w:type="dxa" w:w="2400"/>
            <w:shd w:fill="1F3D2B" w:val="clear"/>
            <w:tcMar>
              <w:top w:type="dxa" w:w="100"/>
              <w:left w:type="dxa" w:w="120"/>
              <w:bottom w:type="dxa" w:w="100"/>
              <w:right w:type="dxa" w:w="120"/>
            </w:tcMar>
          </w:tcPr>
          <w:p>
            <w:r>
              <w:rPr>
                <w:b/>
                <w:bCs/>
                <w:color w:val="FFFFFF"/>
                <w:sz w:val="20"/>
                <w:szCs w:val="20"/>
              </w:rPr>
              <w:t xml:space="preserve">Measure</w:t>
            </w:r>
          </w:p>
        </w:tc>
        <w:tc>
          <w:tcPr>
            <w:tcW w:type="dxa" w:w="4200"/>
            <w:shd w:fill="1F3D2B" w:val="clear"/>
            <w:tcMar>
              <w:top w:type="dxa" w:w="100"/>
              <w:left w:type="dxa" w:w="120"/>
              <w:bottom w:type="dxa" w:w="100"/>
              <w:right w:type="dxa" w:w="120"/>
            </w:tcMar>
          </w:tcPr>
          <w:p>
            <w:r>
              <w:rPr>
                <w:b/>
                <w:bCs/>
                <w:color w:val="FFFFFF"/>
                <w:sz w:val="20"/>
                <w:szCs w:val="20"/>
              </w:rPr>
              <w:t xml:space="preserve">DAX</w:t>
            </w:r>
          </w:p>
        </w:tc>
        <w:tc>
          <w:tcPr>
            <w:tcW w:type="dxa" w:w="3200"/>
            <w:shd w:fill="1F3D2B" w:val="clear"/>
            <w:tcMar>
              <w:top w:type="dxa" w:w="100"/>
              <w:left w:type="dxa" w:w="120"/>
              <w:bottom w:type="dxa" w:w="100"/>
              <w:right w:type="dxa" w:w="120"/>
            </w:tcMar>
          </w:tcPr>
          <w:p>
            <w:r>
              <w:rPr>
                <w:b/>
                <w:bCs/>
                <w:color w:val="FFFFFF"/>
                <w:sz w:val="20"/>
                <w:szCs w:val="20"/>
              </w:rPr>
              <w:t xml:space="preserve">What it calculates</w:t>
            </w:r>
          </w:p>
        </w:tc>
      </w:tr>
      <w:tr>
        <w:tc>
          <w:tcPr>
            <w:tcW w:type="dxa" w:w="2400"/>
            <w:shd w:fill="FFFFFF" w:val="clear"/>
            <w:tcMar>
              <w:top w:type="dxa" w:w="100"/>
              <w:left w:type="dxa" w:w="120"/>
              <w:bottom w:type="dxa" w:w="100"/>
              <w:right w:type="dxa" w:w="120"/>
            </w:tcMar>
          </w:tcPr>
          <w:p>
            <w:r>
              <w:rPr>
                <w:b w:val="false"/>
                <w:bCs w:val="false"/>
                <w:color w:val="1A1A1A"/>
                <w:sz w:val="19"/>
                <w:szCs w:val="19"/>
              </w:rPr>
              <w:t xml:space="preserve">Total Revenue</w:t>
            </w:r>
          </w:p>
        </w:tc>
        <w:tc>
          <w:tcPr>
            <w:tcW w:type="dxa" w:w="4200"/>
            <w:shd w:fill="FFFFFF" w:val="clear"/>
            <w:tcMar>
              <w:top w:type="dxa" w:w="100"/>
              <w:left w:type="dxa" w:w="120"/>
              <w:bottom w:type="dxa" w:w="100"/>
              <w:right w:type="dxa" w:w="120"/>
            </w:tcMar>
          </w:tcPr>
          <w:p>
            <w:r>
              <w:rPr>
                <w:rFonts w:ascii="Consolas" w:cs="Consolas" w:eastAsia="Consolas" w:hAnsi="Consolas"/>
                <w:color w:val="1A1A1A"/>
                <w:sz w:val="17"/>
                <w:szCs w:val="17"/>
              </w:rPr>
              <w:t xml:space="preserve">SUM(shopify_sales[Revenue])</w:t>
            </w:r>
          </w:p>
        </w:tc>
        <w:tc>
          <w:tcPr>
            <w:tcW w:type="dxa" w:w="3200"/>
            <w:shd w:fill="FFFFFF" w:val="clear"/>
            <w:tcMar>
              <w:top w:type="dxa" w:w="100"/>
              <w:left w:type="dxa" w:w="120"/>
              <w:bottom w:type="dxa" w:w="100"/>
              <w:right w:type="dxa" w:w="120"/>
            </w:tcMar>
          </w:tcPr>
          <w:p>
            <w:r>
              <w:rPr>
                <w:b w:val="false"/>
                <w:bCs w:val="false"/>
                <w:color w:val="1A1A1A"/>
                <w:sz w:val="19"/>
                <w:szCs w:val="19"/>
              </w:rPr>
              <w:t xml:space="preserve">Sums order-level revenue across all transactions.</w:t>
            </w:r>
          </w:p>
        </w:tc>
      </w:tr>
      <w:tr>
        <w:tc>
          <w:tcPr>
            <w:tcW w:type="dxa" w:w="2400"/>
            <w:shd w:fill="F2F2F2" w:val="clear"/>
            <w:tcMar>
              <w:top w:type="dxa" w:w="100"/>
              <w:left w:type="dxa" w:w="120"/>
              <w:bottom w:type="dxa" w:w="100"/>
              <w:right w:type="dxa" w:w="120"/>
            </w:tcMar>
          </w:tcPr>
          <w:p>
            <w:r>
              <w:rPr>
                <w:b w:val="false"/>
                <w:bCs w:val="false"/>
                <w:color w:val="1A1A1A"/>
                <w:sz w:val="19"/>
                <w:szCs w:val="19"/>
              </w:rPr>
              <w:t xml:space="preserve">Total Orders</w:t>
            </w:r>
          </w:p>
        </w:tc>
        <w:tc>
          <w:tcPr>
            <w:tcW w:type="dxa" w:w="4200"/>
            <w:shd w:fill="F2F2F2" w:val="clear"/>
            <w:tcMar>
              <w:top w:type="dxa" w:w="100"/>
              <w:left w:type="dxa" w:w="120"/>
              <w:bottom w:type="dxa" w:w="100"/>
              <w:right w:type="dxa" w:w="120"/>
            </w:tcMar>
          </w:tcPr>
          <w:p>
            <w:r>
              <w:rPr>
                <w:rFonts w:ascii="Consolas" w:cs="Consolas" w:eastAsia="Consolas" w:hAnsi="Consolas"/>
                <w:color w:val="1A1A1A"/>
                <w:sz w:val="17"/>
                <w:szCs w:val="17"/>
              </w:rPr>
              <w:t xml:space="preserve">DISTINCTCOUNT(shopify_sales[Order ID])</w:t>
            </w:r>
          </w:p>
        </w:tc>
        <w:tc>
          <w:tcPr>
            <w:tcW w:type="dxa" w:w="3200"/>
            <w:shd w:fill="F2F2F2" w:val="clear"/>
            <w:tcMar>
              <w:top w:type="dxa" w:w="100"/>
              <w:left w:type="dxa" w:w="120"/>
              <w:bottom w:type="dxa" w:w="100"/>
              <w:right w:type="dxa" w:w="120"/>
            </w:tcMar>
          </w:tcPr>
          <w:p>
            <w:r>
              <w:rPr>
                <w:b w:val="false"/>
                <w:bCs w:val="false"/>
                <w:color w:val="1A1A1A"/>
                <w:sz w:val="19"/>
                <w:szCs w:val="19"/>
              </w:rPr>
              <w:t xml:space="preserve">Counts the number of unique orders placed.</w:t>
            </w:r>
          </w:p>
        </w:tc>
      </w:tr>
      <w:tr>
        <w:tc>
          <w:tcPr>
            <w:tcW w:type="dxa" w:w="2400"/>
            <w:shd w:fill="FFFFFF" w:val="clear"/>
            <w:tcMar>
              <w:top w:type="dxa" w:w="100"/>
              <w:left w:type="dxa" w:w="120"/>
              <w:bottom w:type="dxa" w:w="100"/>
              <w:right w:type="dxa" w:w="120"/>
            </w:tcMar>
          </w:tcPr>
          <w:p>
            <w:r>
              <w:rPr>
                <w:b w:val="false"/>
                <w:bCs w:val="false"/>
                <w:color w:val="1A1A1A"/>
                <w:sz w:val="19"/>
                <w:szCs w:val="19"/>
              </w:rPr>
              <w:t xml:space="preserve">Unique Customers</w:t>
            </w:r>
          </w:p>
        </w:tc>
        <w:tc>
          <w:tcPr>
            <w:tcW w:type="dxa" w:w="4200"/>
            <w:shd w:fill="FFFFFF" w:val="clear"/>
            <w:tcMar>
              <w:top w:type="dxa" w:w="100"/>
              <w:left w:type="dxa" w:w="120"/>
              <w:bottom w:type="dxa" w:w="100"/>
              <w:right w:type="dxa" w:w="120"/>
            </w:tcMar>
          </w:tcPr>
          <w:p>
            <w:r>
              <w:rPr>
                <w:rFonts w:ascii="Consolas" w:cs="Consolas" w:eastAsia="Consolas" w:hAnsi="Consolas"/>
                <w:color w:val="1A1A1A"/>
                <w:sz w:val="17"/>
                <w:szCs w:val="17"/>
              </w:rPr>
              <w:t xml:space="preserve">DISTINCTCOUNT(shopify_sales[Customer Id])</w:t>
            </w:r>
          </w:p>
        </w:tc>
        <w:tc>
          <w:tcPr>
            <w:tcW w:type="dxa" w:w="3200"/>
            <w:shd w:fill="FFFFFF" w:val="clear"/>
            <w:tcMar>
              <w:top w:type="dxa" w:w="100"/>
              <w:left w:type="dxa" w:w="120"/>
              <w:bottom w:type="dxa" w:w="100"/>
              <w:right w:type="dxa" w:w="120"/>
            </w:tcMar>
          </w:tcPr>
          <w:p>
            <w:r>
              <w:rPr>
                <w:b w:val="false"/>
                <w:bCs w:val="false"/>
                <w:color w:val="1A1A1A"/>
                <w:sz w:val="19"/>
                <w:szCs w:val="19"/>
              </w:rPr>
              <w:t xml:space="preserve">Counts the number of distinct customers who purchased.</w:t>
            </w:r>
          </w:p>
        </w:tc>
      </w:tr>
      <w:tr>
        <w:tc>
          <w:tcPr>
            <w:tcW w:type="dxa" w:w="2400"/>
            <w:shd w:fill="F2F2F2" w:val="clear"/>
            <w:tcMar>
              <w:top w:type="dxa" w:w="100"/>
              <w:left w:type="dxa" w:w="120"/>
              <w:bottom w:type="dxa" w:w="100"/>
              <w:right w:type="dxa" w:w="120"/>
            </w:tcMar>
          </w:tcPr>
          <w:p>
            <w:r>
              <w:rPr>
                <w:b w:val="false"/>
                <w:bCs w:val="false"/>
                <w:color w:val="1A1A1A"/>
                <w:sz w:val="19"/>
                <w:szCs w:val="19"/>
              </w:rPr>
              <w:t xml:space="preserve">AOV (Average Order Value)</w:t>
            </w:r>
          </w:p>
        </w:tc>
        <w:tc>
          <w:tcPr>
            <w:tcW w:type="dxa" w:w="4200"/>
            <w:shd w:fill="F2F2F2" w:val="clear"/>
            <w:tcMar>
              <w:top w:type="dxa" w:w="100"/>
              <w:left w:type="dxa" w:w="120"/>
              <w:bottom w:type="dxa" w:w="100"/>
              <w:right w:type="dxa" w:w="120"/>
            </w:tcMar>
          </w:tcPr>
          <w:p>
            <w:r>
              <w:rPr>
                <w:rFonts w:ascii="Consolas" w:cs="Consolas" w:eastAsia="Consolas" w:hAnsi="Consolas"/>
                <w:color w:val="1A1A1A"/>
                <w:sz w:val="17"/>
                <w:szCs w:val="17"/>
              </w:rPr>
              <w:t xml:space="preserve">DIVIDE([Total Revenue], [Total Orders])</w:t>
            </w:r>
          </w:p>
        </w:tc>
        <w:tc>
          <w:tcPr>
            <w:tcW w:type="dxa" w:w="3200"/>
            <w:shd w:fill="F2F2F2" w:val="clear"/>
            <w:tcMar>
              <w:top w:type="dxa" w:w="100"/>
              <w:left w:type="dxa" w:w="120"/>
              <w:bottom w:type="dxa" w:w="100"/>
              <w:right w:type="dxa" w:w="120"/>
            </w:tcMar>
          </w:tcPr>
          <w:p>
            <w:r>
              <w:rPr>
                <w:b w:val="false"/>
                <w:bCs w:val="false"/>
                <w:color w:val="1A1A1A"/>
                <w:sz w:val="19"/>
                <w:szCs w:val="19"/>
              </w:rPr>
              <w:t xml:space="preserve">Average revenue generated per order.</w:t>
            </w:r>
          </w:p>
        </w:tc>
      </w:tr>
      <w:tr>
        <w:tc>
          <w:tcPr>
            <w:tcW w:type="dxa" w:w="2400"/>
            <w:shd w:fill="FFFFFF" w:val="clear"/>
            <w:tcMar>
              <w:top w:type="dxa" w:w="100"/>
              <w:left w:type="dxa" w:w="120"/>
              <w:bottom w:type="dxa" w:w="100"/>
              <w:right w:type="dxa" w:w="120"/>
            </w:tcMar>
          </w:tcPr>
          <w:p>
            <w:r>
              <w:rPr>
                <w:b w:val="false"/>
                <w:bCs w:val="false"/>
                <w:color w:val="1A1A1A"/>
                <w:sz w:val="19"/>
                <w:szCs w:val="19"/>
              </w:rPr>
              <w:t xml:space="preserve">Revenue Growth %</w:t>
            </w:r>
          </w:p>
        </w:tc>
        <w:tc>
          <w:tcPr>
            <w:tcW w:type="dxa" w:w="4200"/>
            <w:shd w:fill="FFFFFF" w:val="clear"/>
            <w:tcMar>
              <w:top w:type="dxa" w:w="100"/>
              <w:left w:type="dxa" w:w="120"/>
              <w:bottom w:type="dxa" w:w="100"/>
              <w:right w:type="dxa" w:w="120"/>
            </w:tcMar>
          </w:tcPr>
          <w:p>
            <w:r>
              <w:rPr>
                <w:rFonts w:ascii="Consolas" w:cs="Consolas" w:eastAsia="Consolas" w:hAnsi="Consolas"/>
                <w:color w:val="1A1A1A"/>
                <w:sz w:val="17"/>
                <w:szCs w:val="17"/>
              </w:rPr>
              <w:t xml:space="preserve">VAR CurrentRev = [Total Revenue]</w:t>
            </w:r>
          </w:p>
          <w:p>
            <w:r>
              <w:rPr>
                <w:rFonts w:ascii="Consolas" w:cs="Consolas" w:eastAsia="Consolas" w:hAnsi="Consolas"/>
                <w:color w:val="1A1A1A"/>
                <w:sz w:val="17"/>
                <w:szCs w:val="17"/>
              </w:rPr>
              <w:t xml:space="preserve">VAR PriorRev = CALCULATE([Total Revenue], DATEADD('Date'[Date], -1, MONTH))</w:t>
            </w:r>
          </w:p>
          <w:p>
            <w:r>
              <w:rPr>
                <w:rFonts w:ascii="Consolas" w:cs="Consolas" w:eastAsia="Consolas" w:hAnsi="Consolas"/>
                <w:color w:val="1A1A1A"/>
                <w:sz w:val="17"/>
                <w:szCs w:val="17"/>
              </w:rPr>
              <w:t xml:space="preserve">RETURN DIVIDE(CurrentRev - PriorRev, PriorRev)</w:t>
            </w:r>
          </w:p>
        </w:tc>
        <w:tc>
          <w:tcPr>
            <w:tcW w:type="dxa" w:w="3200"/>
            <w:shd w:fill="FFFFFF" w:val="clear"/>
            <w:tcMar>
              <w:top w:type="dxa" w:w="100"/>
              <w:left w:type="dxa" w:w="120"/>
              <w:bottom w:type="dxa" w:w="100"/>
              <w:right w:type="dxa" w:w="120"/>
            </w:tcMar>
          </w:tcPr>
          <w:p>
            <w:r>
              <w:rPr>
                <w:b w:val="false"/>
                <w:bCs w:val="false"/>
                <w:color w:val="1A1A1A"/>
                <w:sz w:val="19"/>
                <w:szCs w:val="19"/>
              </w:rPr>
              <w:t xml:space="preserve">% change in revenue vs. the previous month, used to track momentum.</w:t>
            </w:r>
          </w:p>
        </w:tc>
      </w:tr>
      <w:tr>
        <w:tc>
          <w:tcPr>
            <w:tcW w:type="dxa" w:w="2400"/>
            <w:shd w:fill="F2F2F2" w:val="clear"/>
            <w:tcMar>
              <w:top w:type="dxa" w:w="100"/>
              <w:left w:type="dxa" w:w="120"/>
              <w:bottom w:type="dxa" w:w="100"/>
              <w:right w:type="dxa" w:w="120"/>
            </w:tcMar>
          </w:tcPr>
          <w:p>
            <w:r>
              <w:rPr>
                <w:b w:val="false"/>
                <w:bCs w:val="false"/>
                <w:color w:val="1A1A1A"/>
                <w:sz w:val="19"/>
                <w:szCs w:val="19"/>
              </w:rPr>
              <w:t xml:space="preserve">Revenue Target</w:t>
            </w:r>
          </w:p>
        </w:tc>
        <w:tc>
          <w:tcPr>
            <w:tcW w:type="dxa" w:w="4200"/>
            <w:shd w:fill="F2F2F2" w:val="clear"/>
            <w:tcMar>
              <w:top w:type="dxa" w:w="100"/>
              <w:left w:type="dxa" w:w="120"/>
              <w:bottom w:type="dxa" w:w="100"/>
              <w:right w:type="dxa" w:w="120"/>
            </w:tcMar>
          </w:tcPr>
          <w:p>
            <w:r>
              <w:rPr>
                <w:rFonts w:ascii="Consolas" w:cs="Consolas" w:eastAsia="Consolas" w:hAnsi="Consolas"/>
                <w:color w:val="1A1A1A"/>
                <w:sz w:val="17"/>
                <w:szCs w:val="17"/>
              </w:rPr>
              <w:t xml:space="preserve">[Total Revenue (Prior Period)] * 1.10</w:t>
            </w:r>
          </w:p>
        </w:tc>
        <w:tc>
          <w:tcPr>
            <w:tcW w:type="dxa" w:w="3200"/>
            <w:shd w:fill="F2F2F2" w:val="clear"/>
            <w:tcMar>
              <w:top w:type="dxa" w:w="100"/>
              <w:left w:type="dxa" w:w="120"/>
              <w:bottom w:type="dxa" w:w="100"/>
              <w:right w:type="dxa" w:w="120"/>
            </w:tcMar>
          </w:tcPr>
          <w:p>
            <w:r>
              <w:rPr>
                <w:b w:val="false"/>
                <w:bCs w:val="false"/>
                <w:color w:val="1A1A1A"/>
                <w:sz w:val="19"/>
                <w:szCs w:val="19"/>
              </w:rPr>
              <w:t xml:space="preserve">A 10% growth benchmark used to evaluate current performance on the gauge visual.</w:t>
            </w:r>
          </w:p>
        </w:tc>
      </w:tr>
      <w:tr>
        <w:tc>
          <w:tcPr>
            <w:tcW w:type="dxa" w:w="2400"/>
            <w:shd w:fill="FFFFFF" w:val="clear"/>
            <w:tcMar>
              <w:top w:type="dxa" w:w="100"/>
              <w:left w:type="dxa" w:w="120"/>
              <w:bottom w:type="dxa" w:w="100"/>
              <w:right w:type="dxa" w:w="120"/>
            </w:tcMar>
          </w:tcPr>
          <w:p>
            <w:r>
              <w:rPr>
                <w:b w:val="false"/>
                <w:bCs w:val="false"/>
                <w:color w:val="1A1A1A"/>
                <w:sz w:val="19"/>
                <w:szCs w:val="19"/>
              </w:rPr>
              <w:t xml:space="preserve">Revenue Per Customer</w:t>
            </w:r>
          </w:p>
        </w:tc>
        <w:tc>
          <w:tcPr>
            <w:tcW w:type="dxa" w:w="4200"/>
            <w:shd w:fill="FFFFFF" w:val="clear"/>
            <w:tcMar>
              <w:top w:type="dxa" w:w="100"/>
              <w:left w:type="dxa" w:w="120"/>
              <w:bottom w:type="dxa" w:w="100"/>
              <w:right w:type="dxa" w:w="120"/>
            </w:tcMar>
          </w:tcPr>
          <w:p>
            <w:r>
              <w:rPr>
                <w:rFonts w:ascii="Consolas" w:cs="Consolas" w:eastAsia="Consolas" w:hAnsi="Consolas"/>
                <w:color w:val="1A1A1A"/>
                <w:sz w:val="17"/>
                <w:szCs w:val="17"/>
              </w:rPr>
              <w:t xml:space="preserve">DIVIDE([Total Revenue], [Unique Customers])</w:t>
            </w:r>
          </w:p>
        </w:tc>
        <w:tc>
          <w:tcPr>
            <w:tcW w:type="dxa" w:w="3200"/>
            <w:shd w:fill="FFFFFF" w:val="clear"/>
            <w:tcMar>
              <w:top w:type="dxa" w:w="100"/>
              <w:left w:type="dxa" w:w="120"/>
              <w:bottom w:type="dxa" w:w="100"/>
              <w:right w:type="dxa" w:w="120"/>
            </w:tcMar>
          </w:tcPr>
          <w:p>
            <w:r>
              <w:rPr>
                <w:b w:val="false"/>
                <w:bCs w:val="false"/>
                <w:color w:val="1A1A1A"/>
                <w:sz w:val="19"/>
                <w:szCs w:val="19"/>
              </w:rPr>
              <w:t xml:space="preserve">Average revenue contributed by each customer.</w:t>
            </w:r>
          </w:p>
        </w:tc>
      </w:tr>
      <w:tr>
        <w:tc>
          <w:tcPr>
            <w:tcW w:type="dxa" w:w="2400"/>
            <w:shd w:fill="F2F2F2" w:val="clear"/>
            <w:tcMar>
              <w:top w:type="dxa" w:w="100"/>
              <w:left w:type="dxa" w:w="120"/>
              <w:bottom w:type="dxa" w:w="100"/>
              <w:right w:type="dxa" w:w="120"/>
            </w:tcMar>
          </w:tcPr>
          <w:p>
            <w:r>
              <w:rPr>
                <w:b w:val="false"/>
                <w:bCs w:val="false"/>
                <w:color w:val="1A1A1A"/>
                <w:sz w:val="19"/>
                <w:szCs w:val="19"/>
              </w:rPr>
              <w:t xml:space="preserve">Customer Revenue</w:t>
            </w:r>
          </w:p>
        </w:tc>
        <w:tc>
          <w:tcPr>
            <w:tcW w:type="dxa" w:w="4200"/>
            <w:shd w:fill="F2F2F2" w:val="clear"/>
            <w:tcMar>
              <w:top w:type="dxa" w:w="100"/>
              <w:left w:type="dxa" w:w="120"/>
              <w:bottom w:type="dxa" w:w="100"/>
              <w:right w:type="dxa" w:w="120"/>
            </w:tcMar>
          </w:tcPr>
          <w:p>
            <w:r>
              <w:rPr>
                <w:rFonts w:ascii="Consolas" w:cs="Consolas" w:eastAsia="Consolas" w:hAnsi="Consolas"/>
                <w:color w:val="1A1A1A"/>
                <w:sz w:val="17"/>
                <w:szCs w:val="17"/>
              </w:rPr>
              <w:t xml:space="preserve">SUM(shopify_sales[Revenue])</w:t>
            </w:r>
          </w:p>
        </w:tc>
        <w:tc>
          <w:tcPr>
            <w:tcW w:type="dxa" w:w="3200"/>
            <w:shd w:fill="F2F2F2" w:val="clear"/>
            <w:tcMar>
              <w:top w:type="dxa" w:w="100"/>
              <w:left w:type="dxa" w:w="120"/>
              <w:bottom w:type="dxa" w:w="100"/>
              <w:right w:type="dxa" w:w="120"/>
            </w:tcMar>
          </w:tcPr>
          <w:p>
            <w:r>
              <w:rPr>
                <w:b w:val="false"/>
                <w:bCs w:val="false"/>
                <w:color w:val="1A1A1A"/>
                <w:sz w:val="19"/>
                <w:szCs w:val="19"/>
              </w:rPr>
              <w:t xml:space="preserve">Revenue evaluated in customer-row context, used in the drill-through customer table.</w:t>
            </w:r>
          </w:p>
        </w:tc>
      </w:tr>
      <w:tr>
        <w:tc>
          <w:tcPr>
            <w:tcW w:type="dxa" w:w="2400"/>
            <w:shd w:fill="FFFFFF" w:val="clear"/>
            <w:tcMar>
              <w:top w:type="dxa" w:w="100"/>
              <w:left w:type="dxa" w:w="120"/>
              <w:bottom w:type="dxa" w:w="100"/>
              <w:right w:type="dxa" w:w="120"/>
            </w:tcMar>
          </w:tcPr>
          <w:p>
            <w:r>
              <w:rPr>
                <w:b w:val="false"/>
                <w:bCs w:val="false"/>
                <w:color w:val="1A1A1A"/>
                <w:sz w:val="19"/>
                <w:szCs w:val="19"/>
              </w:rPr>
              <w:t xml:space="preserve">Purchase Frequency</w:t>
            </w:r>
          </w:p>
        </w:tc>
        <w:tc>
          <w:tcPr>
            <w:tcW w:type="dxa" w:w="4200"/>
            <w:shd w:fill="FFFFFF" w:val="clear"/>
            <w:tcMar>
              <w:top w:type="dxa" w:w="100"/>
              <w:left w:type="dxa" w:w="120"/>
              <w:bottom w:type="dxa" w:w="100"/>
              <w:right w:type="dxa" w:w="120"/>
            </w:tcMar>
          </w:tcPr>
          <w:p>
            <w:r>
              <w:rPr>
                <w:rFonts w:ascii="Consolas" w:cs="Consolas" w:eastAsia="Consolas" w:hAnsi="Consolas"/>
                <w:color w:val="1A1A1A"/>
                <w:sz w:val="17"/>
                <w:szCs w:val="17"/>
              </w:rPr>
              <w:t xml:space="preserve">DIVIDE([Total Orders], [Unique Customers])</w:t>
            </w:r>
          </w:p>
        </w:tc>
        <w:tc>
          <w:tcPr>
            <w:tcW w:type="dxa" w:w="3200"/>
            <w:shd w:fill="FFFFFF" w:val="clear"/>
            <w:tcMar>
              <w:top w:type="dxa" w:w="100"/>
              <w:left w:type="dxa" w:w="120"/>
              <w:bottom w:type="dxa" w:w="100"/>
              <w:right w:type="dxa" w:w="120"/>
            </w:tcMar>
          </w:tcPr>
          <w:p>
            <w:r>
              <w:rPr>
                <w:b w:val="false"/>
                <w:bCs w:val="false"/>
                <w:color w:val="1A1A1A"/>
                <w:sz w:val="19"/>
                <w:szCs w:val="19"/>
              </w:rPr>
              <w:t xml:space="preserve">Average number of orders placed per customer.</w:t>
            </w:r>
          </w:p>
        </w:tc>
      </w:tr>
      <w:tr>
        <w:tc>
          <w:tcPr>
            <w:tcW w:type="dxa" w:w="2400"/>
            <w:shd w:fill="F2F2F2" w:val="clear"/>
            <w:tcMar>
              <w:top w:type="dxa" w:w="100"/>
              <w:left w:type="dxa" w:w="120"/>
              <w:bottom w:type="dxa" w:w="100"/>
              <w:right w:type="dxa" w:w="120"/>
            </w:tcMar>
          </w:tcPr>
          <w:p>
            <w:r>
              <w:rPr>
                <w:b w:val="false"/>
                <w:bCs w:val="false"/>
                <w:color w:val="1A1A1A"/>
                <w:sz w:val="19"/>
                <w:szCs w:val="19"/>
              </w:rPr>
              <w:t xml:space="preserve">Repeat Customers</w:t>
            </w:r>
          </w:p>
        </w:tc>
        <w:tc>
          <w:tcPr>
            <w:tcW w:type="dxa" w:w="4200"/>
            <w:shd w:fill="F2F2F2" w:val="clear"/>
            <w:tcMar>
              <w:top w:type="dxa" w:w="100"/>
              <w:left w:type="dxa" w:w="120"/>
              <w:bottom w:type="dxa" w:w="100"/>
              <w:right w:type="dxa" w:w="120"/>
            </w:tcMar>
          </w:tcPr>
          <w:p>
            <w:r>
              <w:rPr>
                <w:rFonts w:ascii="Consolas" w:cs="Consolas" w:eastAsia="Consolas" w:hAnsi="Consolas"/>
                <w:color w:val="1A1A1A"/>
                <w:sz w:val="17"/>
                <w:szCs w:val="17"/>
              </w:rPr>
              <w:t xml:space="preserve">CALCULATE(</w:t>
            </w:r>
          </w:p>
          <w:p>
            <w:r>
              <w:rPr>
                <w:rFonts w:ascii="Consolas" w:cs="Consolas" w:eastAsia="Consolas" w:hAnsi="Consolas"/>
                <w:color w:val="1A1A1A"/>
                <w:sz w:val="17"/>
                <w:szCs w:val="17"/>
              </w:rPr>
              <w:t xml:space="preserve">  DISTINCTCOUNT(shopify_sales[Customer Id]),</w:t>
            </w:r>
          </w:p>
          <w:p>
            <w:r>
              <w:rPr>
                <w:rFonts w:ascii="Consolas" w:cs="Consolas" w:eastAsia="Consolas" w:hAnsi="Consolas"/>
                <w:color w:val="1A1A1A"/>
                <w:sz w:val="17"/>
                <w:szCs w:val="17"/>
              </w:rPr>
              <w:t xml:space="preserve">  FILTER(VALUES(shopify_sales[Customer Id]), CALCULATE(COUNTROWS(shopify_sales)) &gt; 1)</w:t>
            </w:r>
          </w:p>
          <w:p>
            <w:r>
              <w:rPr>
                <w:rFonts w:ascii="Consolas" w:cs="Consolas" w:eastAsia="Consolas" w:hAnsi="Consolas"/>
                <w:color w:val="1A1A1A"/>
                <w:sz w:val="17"/>
                <w:szCs w:val="17"/>
              </w:rPr>
              <w:t xml:space="preserve">)</w:t>
            </w:r>
          </w:p>
        </w:tc>
        <w:tc>
          <w:tcPr>
            <w:tcW w:type="dxa" w:w="3200"/>
            <w:shd w:fill="F2F2F2" w:val="clear"/>
            <w:tcMar>
              <w:top w:type="dxa" w:w="100"/>
              <w:left w:type="dxa" w:w="120"/>
              <w:bottom w:type="dxa" w:w="100"/>
              <w:right w:type="dxa" w:w="120"/>
            </w:tcMar>
          </w:tcPr>
          <w:p>
            <w:r>
              <w:rPr>
                <w:b w:val="false"/>
                <w:bCs w:val="false"/>
                <w:color w:val="1A1A1A"/>
                <w:sz w:val="19"/>
                <w:szCs w:val="19"/>
              </w:rPr>
              <w:t xml:space="preserve">Counts customers who placed more than one order.</w:t>
            </w:r>
          </w:p>
        </w:tc>
      </w:tr>
      <w:tr>
        <w:tc>
          <w:tcPr>
            <w:tcW w:type="dxa" w:w="2400"/>
            <w:shd w:fill="FFFFFF" w:val="clear"/>
            <w:tcMar>
              <w:top w:type="dxa" w:w="100"/>
              <w:left w:type="dxa" w:w="120"/>
              <w:bottom w:type="dxa" w:w="100"/>
              <w:right w:type="dxa" w:w="120"/>
            </w:tcMar>
          </w:tcPr>
          <w:p>
            <w:r>
              <w:rPr>
                <w:b w:val="false"/>
                <w:bCs w:val="false"/>
                <w:color w:val="1A1A1A"/>
                <w:sz w:val="19"/>
                <w:szCs w:val="19"/>
              </w:rPr>
              <w:t xml:space="preserve">Repeat Purchase Rate</w:t>
            </w:r>
          </w:p>
        </w:tc>
        <w:tc>
          <w:tcPr>
            <w:tcW w:type="dxa" w:w="4200"/>
            <w:shd w:fill="FFFFFF" w:val="clear"/>
            <w:tcMar>
              <w:top w:type="dxa" w:w="100"/>
              <w:left w:type="dxa" w:w="120"/>
              <w:bottom w:type="dxa" w:w="100"/>
              <w:right w:type="dxa" w:w="120"/>
            </w:tcMar>
          </w:tcPr>
          <w:p>
            <w:r>
              <w:rPr>
                <w:rFonts w:ascii="Consolas" w:cs="Consolas" w:eastAsia="Consolas" w:hAnsi="Consolas"/>
                <w:color w:val="1A1A1A"/>
                <w:sz w:val="17"/>
                <w:szCs w:val="17"/>
              </w:rPr>
              <w:t xml:space="preserve">DIVIDE([Repeat Customers], [Unique Customers])</w:t>
            </w:r>
          </w:p>
        </w:tc>
        <w:tc>
          <w:tcPr>
            <w:tcW w:type="dxa" w:w="3200"/>
            <w:shd w:fill="FFFFFF" w:val="clear"/>
            <w:tcMar>
              <w:top w:type="dxa" w:w="100"/>
              <w:left w:type="dxa" w:w="120"/>
              <w:bottom w:type="dxa" w:w="100"/>
              <w:right w:type="dxa" w:w="120"/>
            </w:tcMar>
          </w:tcPr>
          <w:p>
            <w:r>
              <w:rPr>
                <w:b w:val="false"/>
                <w:bCs w:val="false"/>
                <w:color w:val="1A1A1A"/>
                <w:sz w:val="19"/>
                <w:szCs w:val="19"/>
              </w:rPr>
              <w:t xml:space="preserve">Share of all customers who are repeat buyers — the core retention KPI.</w:t>
            </w:r>
          </w:p>
        </w:tc>
      </w:tr>
      <w:tr>
        <w:tc>
          <w:tcPr>
            <w:tcW w:type="dxa" w:w="2400"/>
            <w:shd w:fill="F2F2F2" w:val="clear"/>
            <w:tcMar>
              <w:top w:type="dxa" w:w="100"/>
              <w:left w:type="dxa" w:w="120"/>
              <w:bottom w:type="dxa" w:w="100"/>
              <w:right w:type="dxa" w:w="120"/>
            </w:tcMar>
          </w:tcPr>
          <w:p>
            <w:r>
              <w:rPr>
                <w:b w:val="false"/>
                <w:bCs w:val="false"/>
                <w:color w:val="1A1A1A"/>
                <w:sz w:val="19"/>
                <w:szCs w:val="19"/>
              </w:rPr>
              <w:t xml:space="preserve">CLV (Customer Lifetime Value)</w:t>
            </w:r>
          </w:p>
        </w:tc>
        <w:tc>
          <w:tcPr>
            <w:tcW w:type="dxa" w:w="4200"/>
            <w:shd w:fill="F2F2F2" w:val="clear"/>
            <w:tcMar>
              <w:top w:type="dxa" w:w="100"/>
              <w:left w:type="dxa" w:w="120"/>
              <w:bottom w:type="dxa" w:w="100"/>
              <w:right w:type="dxa" w:w="120"/>
            </w:tcMar>
          </w:tcPr>
          <w:p>
            <w:r>
              <w:rPr>
                <w:rFonts w:ascii="Consolas" w:cs="Consolas" w:eastAsia="Consolas" w:hAnsi="Consolas"/>
                <w:color w:val="1A1A1A"/>
                <w:sz w:val="17"/>
                <w:szCs w:val="17"/>
              </w:rPr>
              <w:t xml:space="preserve">[AOV] * [Purchase Frequency] * [Avg Customer Lifespan]</w:t>
            </w:r>
          </w:p>
        </w:tc>
        <w:tc>
          <w:tcPr>
            <w:tcW w:type="dxa" w:w="3200"/>
            <w:shd w:fill="F2F2F2" w:val="clear"/>
            <w:tcMar>
              <w:top w:type="dxa" w:w="100"/>
              <w:left w:type="dxa" w:w="120"/>
              <w:bottom w:type="dxa" w:w="100"/>
              <w:right w:type="dxa" w:w="120"/>
            </w:tcMar>
          </w:tcPr>
          <w:p>
            <w:r>
              <w:rPr>
                <w:b w:val="false"/>
                <w:bCs w:val="false"/>
                <w:color w:val="1A1A1A"/>
                <w:sz w:val="19"/>
                <w:szCs w:val="19"/>
              </w:rPr>
              <w:t xml:space="preserve">Estimated total revenue expected from an average customer over their relationship with the store.</w:t>
            </w:r>
          </w:p>
        </w:tc>
      </w:tr>
      <w:tr>
        <w:tc>
          <w:tcPr>
            <w:tcW w:type="dxa" w:w="2400"/>
            <w:shd w:fill="FFFFFF" w:val="clear"/>
            <w:tcMar>
              <w:top w:type="dxa" w:w="100"/>
              <w:left w:type="dxa" w:w="120"/>
              <w:bottom w:type="dxa" w:w="100"/>
              <w:right w:type="dxa" w:w="120"/>
            </w:tcMar>
          </w:tcPr>
          <w:p>
            <w:r>
              <w:rPr>
                <w:b w:val="false"/>
                <w:bCs w:val="false"/>
                <w:color w:val="1A1A1A"/>
                <w:sz w:val="19"/>
                <w:szCs w:val="19"/>
              </w:rPr>
              <w:t xml:space="preserve">Customer Count</w:t>
            </w:r>
          </w:p>
        </w:tc>
        <w:tc>
          <w:tcPr>
            <w:tcW w:type="dxa" w:w="4200"/>
            <w:shd w:fill="FFFFFF" w:val="clear"/>
            <w:tcMar>
              <w:top w:type="dxa" w:w="100"/>
              <w:left w:type="dxa" w:w="120"/>
              <w:bottom w:type="dxa" w:w="100"/>
              <w:right w:type="dxa" w:w="120"/>
            </w:tcMar>
          </w:tcPr>
          <w:p>
            <w:r>
              <w:rPr>
                <w:rFonts w:ascii="Consolas" w:cs="Consolas" w:eastAsia="Consolas" w:hAnsi="Consolas"/>
                <w:color w:val="1A1A1A"/>
                <w:sz w:val="17"/>
                <w:szCs w:val="17"/>
              </w:rPr>
              <w:t xml:space="preserve">DISTINCTCOUNT(shopify_sales[Customer Id])</w:t>
            </w:r>
          </w:p>
        </w:tc>
        <w:tc>
          <w:tcPr>
            <w:tcW w:type="dxa" w:w="3200"/>
            <w:shd w:fill="FFFFFF" w:val="clear"/>
            <w:tcMar>
              <w:top w:type="dxa" w:w="100"/>
              <w:left w:type="dxa" w:w="120"/>
              <w:bottom w:type="dxa" w:w="100"/>
              <w:right w:type="dxa" w:w="120"/>
            </w:tcMar>
          </w:tcPr>
          <w:p>
            <w:r>
              <w:rPr>
                <w:b w:val="false"/>
                <w:bCs w:val="false"/>
                <w:color w:val="1A1A1A"/>
                <w:sz w:val="19"/>
                <w:szCs w:val="19"/>
              </w:rPr>
              <w:t xml:space="preserve">Distinct customer count sliced by city/product, used in the city and matrix visuals.</w:t>
            </w:r>
          </w:p>
        </w:tc>
      </w:tr>
    </w:tbl>
    <w:p>
      <w:r>
        <w:br w:type="page"/>
      </w:r>
    </w:p>
    <w:p>
      <w:pPr>
        <w:pStyle w:val="Heading1"/>
        <w:pBdr>
          <w:bottom w:val="single" w:color="8A6D3B" w:sz="8" w:space="4"/>
        </w:pBdr>
        <w:spacing w:after="160" w:before="360"/>
      </w:pPr>
      <w:r>
        <w:rPr>
          <w:b/>
          <w:bCs/>
          <w:color w:val="1F3D2B"/>
          <w:sz w:val="30"/>
          <w:szCs w:val="30"/>
        </w:rPr>
        <w:t xml:space="preserve">12. Key Insights &amp; Recommendations</w:t>
      </w:r>
    </w:p>
    <w:p>
      <w:pPr>
        <w:pStyle w:val="ListParagraph"/>
        <w:numPr>
          <w:ilvl w:val="0"/>
          <w:numId w:val="3"/>
        </w:numPr>
        <w:spacing w:after="100" w:line="300"/>
      </w:pPr>
      <w:r>
        <w:rPr>
          <w:sz w:val="22"/>
          <w:szCs w:val="22"/>
        </w:rPr>
        <w:t xml:space="preserve">A small set of product categories (Running, Walking, Cycling Shoes) drive most revenue → prioritize them in inventory and promotions.</w:t>
      </w:r>
    </w:p>
    <w:p>
      <w:pPr>
        <w:pStyle w:val="ListParagraph"/>
        <w:numPr>
          <w:ilvl w:val="0"/>
          <w:numId w:val="3"/>
        </w:numPr>
        <w:spacing w:after="100" w:line="300"/>
      </w:pPr>
      <w:r>
        <w:rPr>
          <w:sz w:val="22"/>
          <w:szCs w:val="22"/>
        </w:rPr>
        <w:t xml:space="preserve">Specific months combine high order volume with high AOV → replicate whatever marketing/timing drove those months.</w:t>
      </w:r>
    </w:p>
    <w:p>
      <w:pPr>
        <w:pStyle w:val="ListParagraph"/>
        <w:numPr>
          <w:ilvl w:val="0"/>
          <w:numId w:val="3"/>
        </w:numPr>
        <w:spacing w:after="100" w:line="300"/>
      </w:pPr>
      <w:r>
        <w:rPr>
          <w:sz w:val="22"/>
          <w:szCs w:val="22"/>
        </w:rPr>
        <w:t xml:space="preserve">Most customers never return after their first order (only ~35% repeat, ~8% become high-value) → invest in first-to-second-purchase re-engagement (email flows, discount-on-next-order offers).</w:t>
      </w:r>
    </w:p>
    <w:p>
      <w:pPr>
        <w:pStyle w:val="ListParagraph"/>
        <w:numPr>
          <w:ilvl w:val="0"/>
          <w:numId w:val="3"/>
        </w:numPr>
        <w:spacing w:after="100" w:line="300"/>
      </w:pPr>
      <w:r>
        <w:rPr>
          <w:sz w:val="22"/>
          <w:szCs w:val="22"/>
        </w:rPr>
        <w:t xml:space="preserve">Revenue and product demand vary meaningfully by city → shift from national campaigns to city-tailored marketing and stocking.</w:t>
      </w:r>
    </w:p>
    <w:p>
      <w:pPr>
        <w:pStyle w:val="ListParagraph"/>
        <w:numPr>
          <w:ilvl w:val="0"/>
          <w:numId w:val="3"/>
        </w:numPr>
        <w:spacing w:after="100" w:line="300"/>
      </w:pPr>
      <w:r>
        <w:rPr>
          <w:sz w:val="22"/>
          <w:szCs w:val="22"/>
        </w:rPr>
        <w:t xml:space="preserve">Monthly revenue swings between clear increase and decrease periods rather than growing steadily → investigate what changes operationally in decline months to smooth performance.</w:t>
      </w:r>
    </w:p>
    <w:p>
      <w:r>
        <w:br w:type="page"/>
      </w:r>
    </w:p>
    <w:p>
      <w:pPr>
        <w:pStyle w:val="Heading1"/>
        <w:pBdr>
          <w:bottom w:val="single" w:color="8A6D3B" w:sz="8" w:space="4"/>
        </w:pBdr>
        <w:spacing w:after="160" w:before="360"/>
      </w:pPr>
      <w:r>
        <w:rPr>
          <w:b/>
          <w:bCs/>
          <w:color w:val="1F3D2B"/>
          <w:sz w:val="30"/>
          <w:szCs w:val="30"/>
        </w:rPr>
        <w:t xml:space="preserve">13. One-Page Dashboard View</w:t>
      </w:r>
    </w:p>
    <w:p>
      <w:pPr>
        <w:spacing w:after="160" w:line="300"/>
      </w:pPr>
      <w:r>
        <w:rPr>
          <w:sz w:val="22"/>
          <w:szCs w:val="22"/>
        </w:rPr>
        <w:t xml:space="preserve">Exported view of the primary dashboard page (Shopify Sales Analytics Dashboard), showing headline KPIs, revenue trend, product and city breakdown, and the customer drill-through table.</w:t>
      </w:r>
    </w:p>
    <w:p>
      <w:pPr>
        <w:spacing w:before="16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152775"/>
                    </a:xfrm>
                    <a:prstGeom prst="rect">
                      <a:avLst/>
                    </a:prstGeom>
                  </pic:spPr>
                </pic:pic>
              </a:graphicData>
            </a:graphic>
          </wp:inline>
        </w:drawing>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6a943fca71c688073e476a75b29b2dcf6ac3d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2026-08-15T19:51:29.337Z</dcterms:created>
  <dcterms:modified xsi:type="dcterms:W3CDTF">2026-08-15T19:51:29.351Z</dcterms:modified>
</cp:coreProperties>
</file>

<file path=docProps/custom.xml><?xml version="1.0" encoding="utf-8"?>
<Properties xmlns="http://schemas.openxmlformats.org/officeDocument/2006/custom-properties" xmlns:vt="http://schemas.openxmlformats.org/officeDocument/2006/docPropsVTypes"/>
</file>