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997A"/>
          <w:sz w:val="48"/>
          <w:szCs w:val="48"/>
        </w:rPr>
        <w:t xml:space="preserve">SHOPIFY SALES INTELLIGENCE</w:t>
      </w:r>
    </w:p>
    <w:p>
      <w:pPr>
        <w:spacing w:after="40"/>
      </w:pPr>
      <w:r>
        <w:rPr>
          <w:color w:val="5B6472"/>
          <w:sz w:val="26"/>
          <w:szCs w:val="26"/>
        </w:rPr>
        <w:t xml:space="preserve">Power BI &amp; Interactive Dashboard — Project Portfolio Report</w:t>
      </w:r>
    </w:p>
    <w:p>
      <w:pPr>
        <w:spacing w:after="20"/>
      </w:pPr>
      <w:r>
        <w:rPr>
          <w:color w:val="5B6472"/>
          <w:sz w:val="21"/>
          <w:szCs w:val="21"/>
        </w:rPr>
        <w:t xml:space="preserve">P Suman Sangeet  ·  Data Analyst &amp; AI Intern, LabMentix  ·  PGDM in Big Data Analytics</w:t>
      </w:r>
    </w:p>
    <w:p>
      <w:pPr>
        <w:spacing w:after="500"/>
      </w:pPr>
      <w:r>
        <w:rPr>
          <w:color w:val="5B6472"/>
          <w:sz w:val="20"/>
          <w:szCs w:val="20"/>
        </w:rPr>
        <w:t xml:space="preserve">Stack: Python · pandas · Plotly · Streamlit · Power Query (ETL) · Data Modeling · Power BI · DAX</w:t>
      </w:r>
    </w:p>
    <w:p>
      <w:pPr>
        <w:pStyle w:val="Heading1"/>
        <w:spacing w:after="200" w:before="420"/>
      </w:pPr>
      <w:r>
        <w:t xml:space="preserve">Executive Summary</w:t>
      </w:r>
    </w:p>
    <w:p>
      <w:pPr>
        <w:spacing w:after="160"/>
      </w:pPr>
      <w:r>
        <w:t xml:space="preserve">This project turns a raw Shopify transaction export (7,431 order lines, 4,431 customers, one week of sales across 49 U.S. states) into a two-part, decision-ready analytics product: a Power BI dashboard built on a proper star-schema data model with 15+ DAX measures, and a companion interactive Python/Streamlit dashboard so the same insights are reachable from any browser without Power BI installed. The goal throughout was to make every visual answer a specific stakeholder question — not just chart the data — and to be explicit about what the data can and can't support, rather than overstating thin signals.</w:t>
      </w:r>
    </w:p>
    <w:p>
      <w:pPr>
        <w:spacing w:after="160"/>
      </w:pPr>
      <w:r>
        <w:rPr>
          <w:b/>
          <w:bCs/>
        </w:rPr>
        <w:t xml:space="preserve">Headline numbers: $4,598,960.87 in total revenue, 7,431 orders, $618.89 average order value, 4,431 unique customers, and a 46.0% repeat purchase rate.</w:t>
      </w:r>
    </w:p>
    <w:p>
      <w:pPr>
        <w:pStyle w:val="Heading1"/>
        <w:spacing w:after="200" w:before="420"/>
      </w:pPr>
      <w:r>
        <w:t xml:space="preserve">The Dashboard</w:t>
      </w:r>
    </w:p>
    <w:p>
      <w:pPr>
        <w:spacing w:after="160"/>
      </w:pPr>
      <w:r>
        <w:t xml:space="preserve">The screenshots below are the actual running Streamlit companion dashboard (built with the same KPIs, dimensions, and DAX-equivalent logic as the Power BI model), included here because it renders directly in a browser for anyone reviewing this report.</w:t>
      </w:r>
    </w:p>
    <w:p>
      <w:pPr>
        <w:pStyle w:val="Heading2"/>
        <w:spacing w:after="120" w:before="260"/>
      </w:pPr>
      <w:r>
        <w:t xml:space="preserve">Overview: headline KPIs and the story up front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9"/>
          <w:szCs w:val="19"/>
        </w:rPr>
        <w:t xml:space="preserve">Hero header, live-filterable KPI scoreboard, and an auto-generated key-insight callout — the three things a recruiter or stakeholder sees in the first five seconds.</w:t>
      </w:r>
    </w:p>
    <w:p>
      <w:pPr>
        <w:pStyle w:val="Heading2"/>
        <w:spacing w:after="120" w:before="260"/>
      </w:pPr>
      <w:r>
        <w:t xml:space="preserve">Sales &amp; Trends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9"/>
          <w:szCs w:val="19"/>
        </w:rPr>
        <w:t xml:space="preserve">Revenue trend, product-type treemap, daily revenue waterfall, and AOV-vs-order-volume scatter — trend and composition together on one screen.</w:t>
      </w:r>
    </w:p>
    <w:p>
      <w:pPr>
        <w:pStyle w:val="Heading2"/>
        <w:spacing w:after="120" w:before="260"/>
      </w:pPr>
      <w:r>
        <w:t xml:space="preserve">Customers &amp; Retention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9"/>
          <w:szCs w:val="19"/>
        </w:rPr>
        <w:t xml:space="preserve">Customer retention funnel (Unique → Repeat), orders-per-customer distribution, and a State × Product Type revenue heatmap.</w:t>
      </w:r>
    </w:p>
    <w:p>
      <w:pPr>
        <w:pStyle w:val="Heading2"/>
        <w:spacing w:after="120" w:before="260"/>
      </w:pPr>
      <w:r>
        <w:t xml:space="preserve">Geography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9"/>
          <w:szCs w:val="19"/>
        </w:rPr>
        <w:t xml:space="preserve">Revenue-by-state choropleth and Top 10 Cities by revenue. (The choropleth renders live in-browser; it did not render in this static export environment.)</w:t>
      </w:r>
    </w:p>
    <w:p>
      <w:pPr>
        <w:pStyle w:val="Heading1"/>
        <w:spacing w:after="200" w:before="420"/>
      </w:pPr>
      <w:r>
        <w:t xml:space="preserve">Full Visual Inventory</w:t>
      </w:r>
    </w:p>
    <w:p>
      <w:pPr>
        <w:spacing w:after="160"/>
      </w:pPr>
      <w:r>
        <w:t xml:space="preserve">The Power BI file ships two pages built on the same shared data model, so every visual below stays consistent with every other: filtering one updates all the rest.</w:t>
      </w:r>
    </w:p>
    <w:p>
      <w:pPr>
        <w:pStyle w:val="Heading2"/>
        <w:spacing w:after="120" w:before="260"/>
      </w:pPr>
      <w:r>
        <w:t xml:space="preserve">Page 1 — Sales &amp; Retention Overview (19 visuals)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7997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shd w:fill="17997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/ measures</w:t>
            </w:r>
          </w:p>
        </w:tc>
        <w:tc>
          <w:tcPr>
            <w:shd w:fill="17997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answers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KPI cards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Total Revenue, Total Orders, AOV, Unique Customers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Headline numbers, answerable in seconds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KPI visual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Revenue Growth %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Trend-aware KPI with target/status formatting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Column charts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Revenue per Customer, CLV, Repeat Purchase Rate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Distribution of key per-customer metrics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Line chart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Total Revenue by Month/Year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Revenue trend over time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Clustered bar chart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Total Revenue by Product Type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Product-level revenue ranking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Donut chart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Customer Count by City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Geographic customer concentration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Table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Customer count, revenue, orders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Row-level detail for analysts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Cards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Repeat Customers, Purchase Frequency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Retention-focused KPIs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Slicers (4)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Month/Year, Product Type, Customer Id, City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Cross-filter every visual on the page at once</w:t>
            </w:r>
          </w:p>
        </w:tc>
      </w:tr>
    </w:tbl>
    <w:p>
      <w:pPr>
        <w:pStyle w:val="Heading2"/>
        <w:spacing w:after="120" w:before="260"/>
      </w:pPr>
      <w:r>
        <w:t xml:space="preserve">Page 2 — Insights &amp; Trends (8 visuals added)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7997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shd w:fill="17997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/ measures</w:t>
            </w:r>
          </w:p>
        </w:tc>
        <w:tc>
          <w:tcPr>
            <w:shd w:fill="17997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answers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Treemap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Product Type × Total Revenue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Proportional view of top revenue drivers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Ribbon chart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Month/Year × Product Type × Revenue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Which product ranks #1 each period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Scatter chart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AOV × Total Orders, sized by Revenue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Flags high-volume/low-value vs. reverse periods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Filled map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City × Total Revenue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Geographic revenue concentration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Waterfall chart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Month/Year × Total Revenue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Period-over-period revenue bridge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Funnel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Unique Customers → Repeat Customers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Retention drop-off at a glance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Matrix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City × Product Type × Revenue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Cross-tab of the two key segment dimensions</w:t>
            </w:r>
          </w:p>
        </w:tc>
      </w:tr>
      <w:tr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Gauge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Revenue Growth % vs. target</w:t>
            </w:r>
          </w:p>
        </w:tc>
        <w:tc>
          <w:tcPr>
            <w:shd w:fill="F7F8FA" w:val="clear"/>
          </w:tcPr>
          <w:p>
            <w:r>
              <w:rPr>
                <w:sz w:val="19"/>
                <w:szCs w:val="19"/>
              </w:rPr>
              <w:t xml:space="preserve">Target-tracking for leadership review</w:t>
            </w:r>
          </w:p>
        </w:tc>
      </w:tr>
    </w:tbl>
    <w:p>
      <w:pPr>
        <w:pStyle w:val="Heading1"/>
        <w:spacing w:after="200" w:before="420"/>
      </w:pPr>
      <w:r>
        <w:t xml:space="preserve">Key Business Insights</w:t>
      </w:r>
    </w:p>
    <w:p>
      <w:pPr>
        <w:spacing w:after="40" w:before="160"/>
      </w:pPr>
      <w:r>
        <w:rPr>
          <w:b/>
          <w:bCs/>
          <w:color w:val="17997A"/>
        </w:rPr>
        <w:t xml:space="preserve">Insight 1: </w:t>
      </w:r>
      <w:r>
        <w:t xml:space="preserve">Running Shoes alone drives about 35% of total revenue ($1.62M of $4.6M) — more than the next two categories combined.</w:t>
      </w:r>
    </w:p>
    <w:p>
      <w:pPr>
        <w:spacing w:after="40"/>
      </w:pPr>
      <w:r>
        <w:rPr>
          <w:i/>
          <w:iCs/>
          <w:color w:val="5B6472"/>
          <w:sz w:val="20"/>
          <w:szCs w:val="20"/>
        </w:rPr>
        <w:t xml:space="preserve">Visual: </w:t>
      </w:r>
      <w:r>
        <w:rPr>
          <w:i/>
          <w:iCs/>
          <w:color w:val="5B6472"/>
          <w:sz w:val="20"/>
          <w:szCs w:val="20"/>
        </w:rPr>
        <w:t xml:space="preserve">Treemap and clustered bar chart, Revenue by Product Type.</w:t>
      </w:r>
    </w:p>
    <w:p>
      <w:pPr>
        <w:pBdr>
          <w:left w:val="single" w:color="17997A" w:sz="12" w:space="8"/>
        </w:pBdr>
        <w:shd w:fill="F1F3F5" w:val="clear"/>
        <w:spacing w:after="200"/>
      </w:pPr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Protect Running Shoes inventory availability above all other lines, and test bundled promotions to convert that audience onto adjacent categories.</w:t>
      </w:r>
    </w:p>
    <w:p>
      <w:pPr>
        <w:spacing w:after="40" w:before="160"/>
      </w:pPr>
      <w:r>
        <w:rPr>
          <w:b/>
          <w:bCs/>
          <w:color w:val="17997A"/>
        </w:rPr>
        <w:t xml:space="preserve">Insight 2: </w:t>
      </w:r>
      <w:r>
        <w:t xml:space="preserve">Revenue is not flat across the week — Monday ($752K) and Saturday ($708K) are the strongest days, Tuesday ($578K) the weakest, roughly a 30% swing.</w:t>
      </w:r>
    </w:p>
    <w:p>
      <w:pPr>
        <w:spacing w:after="40"/>
      </w:pPr>
      <w:r>
        <w:rPr>
          <w:i/>
          <w:iCs/>
          <w:color w:val="5B6472"/>
          <w:sz w:val="20"/>
          <w:szCs w:val="20"/>
        </w:rPr>
        <w:t xml:space="preserve">Visual: </w:t>
      </w:r>
      <w:r>
        <w:rPr>
          <w:i/>
          <w:iCs/>
          <w:color w:val="5B6472"/>
          <w:sz w:val="20"/>
          <w:szCs w:val="20"/>
        </w:rPr>
        <w:t xml:space="preserve">Revenue trend line chart and daily revenue waterfall.</w:t>
      </w:r>
    </w:p>
    <w:p>
      <w:pPr>
        <w:pBdr>
          <w:left w:val="single" w:color="17997A" w:sz="12" w:space="8"/>
        </w:pBdr>
        <w:shd w:fill="F1F3F5" w:val="clear"/>
        <w:spacing w:after="200"/>
      </w:pPr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Shift promotional spend and flash-sale timing toward Monday and Saturday rather than spreading it evenly.</w:t>
      </w:r>
    </w:p>
    <w:p>
      <w:pPr>
        <w:spacing w:after="40" w:before="160"/>
      </w:pPr>
      <w:r>
        <w:rPr>
          <w:b/>
          <w:bCs/>
          <w:color w:val="17997A"/>
        </w:rPr>
        <w:t xml:space="preserve">Insight 3: </w:t>
      </w:r>
      <w:r>
        <w:t xml:space="preserve">46% of customers are repeat buyers, but the top 10% of customers by spend account for only 21.9% of revenue — retention depends on a broad base, not a small VIP tier.</w:t>
      </w:r>
    </w:p>
    <w:p>
      <w:pPr>
        <w:spacing w:after="40"/>
      </w:pPr>
      <w:r>
        <w:rPr>
          <w:i/>
          <w:iCs/>
          <w:color w:val="5B6472"/>
          <w:sz w:val="20"/>
          <w:szCs w:val="20"/>
        </w:rPr>
        <w:t xml:space="preserve">Visual: </w:t>
      </w:r>
      <w:r>
        <w:rPr>
          <w:i/>
          <w:iCs/>
          <w:color w:val="5B6472"/>
          <w:sz w:val="20"/>
          <w:szCs w:val="20"/>
        </w:rPr>
        <w:t xml:space="preserve">Customer Retention Funnel and RFM segmentation.</w:t>
      </w:r>
    </w:p>
    <w:p>
      <w:pPr>
        <w:pBdr>
          <w:left w:val="single" w:color="17997A" w:sz="12" w:space="8"/>
        </w:pBdr>
        <w:shd w:fill="F1F3F5" w:val="clear"/>
        <w:spacing w:after="200"/>
      </w:pPr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Build retention programs that reach the broad Loyal/At-Risk middle segment (62% of customers), not just top spenders.</w:t>
      </w:r>
    </w:p>
    <w:p>
      <w:pPr>
        <w:spacing w:after="40" w:before="160"/>
      </w:pPr>
      <w:r>
        <w:rPr>
          <w:b/>
          <w:bCs/>
          <w:color w:val="17997A"/>
        </w:rPr>
        <w:t xml:space="preserve">Insight 4: </w:t>
      </w:r>
      <w:r>
        <w:t xml:space="preserve">Orders peak in the late morning to mid-afternoon (11am-1pm), not evenings.</w:t>
      </w:r>
    </w:p>
    <w:p>
      <w:pPr>
        <w:spacing w:after="40"/>
      </w:pPr>
      <w:r>
        <w:rPr>
          <w:i/>
          <w:iCs/>
          <w:color w:val="5B6472"/>
          <w:sz w:val="20"/>
          <w:szCs w:val="20"/>
        </w:rPr>
        <w:t xml:space="preserve">Visual: </w:t>
      </w:r>
      <w:r>
        <w:rPr>
          <w:i/>
          <w:iCs/>
          <w:color w:val="5B6472"/>
          <w:sz w:val="20"/>
          <w:szCs w:val="20"/>
        </w:rPr>
        <w:t xml:space="preserve">AOV-vs-order-volume scatter, supported by hour-of-day analysis.</w:t>
      </w:r>
    </w:p>
    <w:p>
      <w:pPr>
        <w:pBdr>
          <w:left w:val="single" w:color="17997A" w:sz="12" w:space="8"/>
        </w:pBdr>
        <w:shd w:fill="F1F3F5" w:val="clear"/>
        <w:spacing w:after="200"/>
      </w:pPr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Schedule ads, email sends, and support staffing around the late-morning window where buying intent is already highest.</w:t>
      </w:r>
    </w:p>
    <w:p>
      <w:pPr>
        <w:spacing w:after="40" w:before="160"/>
      </w:pPr>
      <w:r>
        <w:rPr>
          <w:b/>
          <w:bCs/>
          <w:color w:val="17997A"/>
        </w:rPr>
        <w:t xml:space="preserve">Insight 5: </w:t>
      </w:r>
      <w:r>
        <w:t xml:space="preserve">Revenue is geographically concentrated — Washington, Houston, and New York City are the top three cities.</w:t>
      </w:r>
    </w:p>
    <w:p>
      <w:pPr>
        <w:spacing w:after="40"/>
      </w:pPr>
      <w:r>
        <w:rPr>
          <w:i/>
          <w:iCs/>
          <w:color w:val="5B6472"/>
          <w:sz w:val="20"/>
          <w:szCs w:val="20"/>
        </w:rPr>
        <w:t xml:space="preserve">Visual: </w:t>
      </w:r>
      <w:r>
        <w:rPr>
          <w:i/>
          <w:iCs/>
          <w:color w:val="5B6472"/>
          <w:sz w:val="20"/>
          <w:szCs w:val="20"/>
        </w:rPr>
        <w:t xml:space="preserve">Revenue-by-state choropleth and Top 10 Cities bar chart.</w:t>
      </w:r>
    </w:p>
    <w:p>
      <w:pPr>
        <w:pBdr>
          <w:left w:val="single" w:color="17997A" w:sz="12" w:space="8"/>
        </w:pBdr>
        <w:shd w:fill="F1F3F5" w:val="clear"/>
        <w:spacing w:after="200"/>
      </w:pPr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Prioritise regional marketing and fulfilment decisions around the top cities/states first.</w:t>
      </w:r>
    </w:p>
    <w:p>
      <w:pPr>
        <w:pStyle w:val="Heading1"/>
        <w:spacing w:after="200" w:before="420"/>
      </w:pPr>
      <w:r>
        <w:t xml:space="preserve">Tools &amp; Skills Demonstrated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Data cleaning &amp; ETL: </w:t>
      </w:r>
      <w:r>
        <w:t xml:space="preserve">Power Query for cleaning, type correction, deduplication, and text standardisation on a 7,431-row transactional export.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Data modeling: </w:t>
      </w:r>
      <w:r>
        <w:t xml:space="preserve">A star schema (Fact_Sales + Dim_Customer, Dim_Product, Dim_Date, Dim_Geography) with a marked Date table for correct time-intelligence behaviour.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DAX: </w:t>
      </w:r>
      <w:r>
        <w:t xml:space="preserve">15+ measures including Total Revenue, AOV, Repeat Purchase Rate, CLV, and a DATEADD-based Revenue Growth % measure.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Power BI visualization: </w:t>
      </w:r>
      <w:r>
        <w:t xml:space="preserve">27 visuals across two pages — cards, KPI, line, bar, treemap, ribbon, scatter, map, waterfall, funnel, matrix, and gauge — chosen deliberately per business question rather than defaulted 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Python: </w:t>
      </w:r>
      <w:r>
        <w:t xml:space="preserve">pandas for analysis, Plotly for charting, and a custom-themed Streamlit app (custom CSS, multi-tab layout, cross-filtering) deployed as a standalone interactive product.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Applied analytics: </w:t>
      </w:r>
      <w:r>
        <w:t xml:space="preserve">RFM customer segmentation and a documented-assumption CLV model, both built to be re-calibrated automatically once more transaction history is loaded.</w:t>
      </w:r>
    </w:p>
    <w:p>
      <w:pPr>
        <w:spacing w:after="100" w:before="200"/>
      </w:pPr>
      <w:r>
        <w:rPr>
          <w:b/>
          <w:bCs/>
          <w:color w:val="17997A"/>
        </w:rPr>
        <w:t xml:space="preserve">Data scope note: </w:t>
      </w:r>
      <w:r>
        <w:t xml:space="preserve">the source export covers 18-24 March 2025 (one week). Every trend and growth claim in this report is directionally sound but flagged as provisional pending a full month or more of transaction history — the data model, DAX, and dashboard layout are already built to absorb that history without redesign.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296cccf96b2f248eea397e3ec509c9ed1cafe6.png"/><Relationship Id="rId8" Type="http://schemas.openxmlformats.org/officeDocument/2006/relationships/image" Target="media/3fe926e58fafac95d410d32261195db7510abc2d.png"/><Relationship Id="rId9" Type="http://schemas.openxmlformats.org/officeDocument/2006/relationships/image" Target="media/72a4bca49b27efcbb6e78580bdcc9fdc41911a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2026-08-14T19:21:41.720Z</dcterms:created>
  <dcterms:modified xsi:type="dcterms:W3CDTF">2026-08-14T19:21:41.722Z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