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00"/>
      </w:pPr>
    </w:p>
    <w:p>
      <w:pPr>
        <w:pBdr>
          <w:left w:val="single" w:color="0E8388" w:sz="36" w:space="14"/>
        </w:pBdr>
        <w:spacing w:after="80"/>
        <w:ind w:left="40"/>
        <w:jc w:val="left"/>
      </w:pPr>
      <w:r>
        <w:rPr>
          <w:rFonts w:ascii="Calibri" w:cs="Calibri" w:eastAsia="Calibri" w:hAnsi="Calibri"/>
          <w:b/>
          <w:bCs/>
          <w:color w:val="0E8388"/>
          <w:spacing w:val="30"/>
          <w:sz w:val="22"/>
          <w:szCs w:val="22"/>
        </w:rPr>
        <w:t xml:space="preserve">BUSINESS INTELLIGENCE PROJECT REPORT</w:t>
      </w:r>
    </w:p>
    <w:p>
      <w:pPr>
        <w:spacing w:after="40"/>
        <w:ind w:left="60"/>
      </w:pPr>
      <w:r>
        <w:rPr>
          <w:rFonts w:ascii="Calibri" w:cs="Calibri" w:eastAsia="Calibri" w:hAnsi="Calibri"/>
          <w:b/>
          <w:bCs/>
          <w:color w:val="0F2A4A"/>
          <w:sz w:val="62"/>
          <w:szCs w:val="62"/>
        </w:rPr>
        <w:t xml:space="preserve">Shopify Sales Intelligence</w:t>
      </w:r>
    </w:p>
    <w:p>
      <w:pPr>
        <w:spacing w:after="500"/>
        <w:ind w:left="60"/>
      </w:pPr>
      <w:r>
        <w:rPr>
          <w:rFonts w:ascii="Calibri" w:cs="Calibri" w:eastAsia="Calibri" w:hAnsi="Calibri"/>
          <w:i/>
          <w:iCs/>
          <w:color w:val="5B6478"/>
          <w:sz w:val="24"/>
          <w:szCs w:val="24"/>
        </w:rPr>
        <w:t xml:space="preserve">An Interactive Power BI Dashboard for Revenue, Purchasing Behaviour &amp; Customer Retention</w:t>
      </w:r>
    </w:p>
    <w:tbl>
      <w:tblPr>
        <w:tblW w:type="dxa" w:w="935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dxa" w:w="4675"/>
            <w:tcMar>
              <w:top w:type="dxa" w:w="60"/>
              <w:bottom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B6478"/>
                <w:sz w:val="16"/>
                <w:szCs w:val="16"/>
              </w:rPr>
              <w:t xml:space="preserve">PREPARED BY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b/>
                <w:bCs/>
                <w:color w:val="0F2A4A"/>
                <w:sz w:val="22"/>
                <w:szCs w:val="22"/>
              </w:rPr>
              <w:t xml:space="preserve">P Suman Sangeet</w:t>
            </w:r>
          </w:p>
          <w:p>
            <w:r>
              <w:rPr>
                <w:rFonts w:ascii="Calibri" w:cs="Calibri" w:eastAsia="Calibri" w:hAnsi="Calibri"/>
                <w:color w:val="1A2333"/>
                <w:sz w:val="18"/>
                <w:szCs w:val="18"/>
              </w:rPr>
              <w:t xml:space="preserve">Data Analyst &amp; AI Intern — LABMENTIX</w:t>
            </w:r>
          </w:p>
        </w:tc>
        <w:tc>
          <w:tcPr>
            <w:tcW w:type="dxa" w:w="4675"/>
            <w:tcMar>
              <w:top w:type="dxa" w:w="60"/>
              <w:bottom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B6478"/>
                <w:sz w:val="16"/>
                <w:szCs w:val="16"/>
              </w:rPr>
              <w:t xml:space="preserve">TOOLS &amp; STACK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b/>
                <w:bCs/>
                <w:color w:val="0F2A4A"/>
                <w:sz w:val="22"/>
                <w:szCs w:val="22"/>
              </w:rPr>
              <w:t xml:space="preserve">Power BI · Power Query · DAX</w:t>
            </w:r>
          </w:p>
          <w:p>
            <w:r>
              <w:rPr>
                <w:rFonts w:ascii="Calibri" w:cs="Calibri" w:eastAsia="Calibri" w:hAnsi="Calibri"/>
                <w:color w:val="1A2333"/>
                <w:sz w:val="18"/>
                <w:szCs w:val="18"/>
              </w:rPr>
              <w:t xml:space="preserve">Python (pandas, Plotly, Streamlit)</w:t>
            </w:r>
          </w:p>
        </w:tc>
      </w:tr>
    </w:tbl>
    <w:p>
      <w:pPr>
        <w:spacing w:after="60" w:before="300"/>
      </w:pPr>
    </w:p>
    <w:tbl>
      <w:tblPr>
        <w:tblW w:type="dxa" w:w="935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dxa" w:w="4675"/>
          </w:tcPr>
          <w:p>
            <w:r>
              <w:rPr>
                <w:rFonts w:ascii="Calibri" w:cs="Calibri" w:eastAsia="Calibri" w:hAnsi="Calibri"/>
                <w:b/>
                <w:bCs/>
                <w:color w:val="5B6478"/>
                <w:sz w:val="16"/>
                <w:szCs w:val="16"/>
              </w:rPr>
              <w:t xml:space="preserve">DATASET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b/>
                <w:bCs/>
                <w:color w:val="0F2A4A"/>
                <w:sz w:val="20"/>
                <w:szCs w:val="20"/>
              </w:rPr>
              <w:t xml:space="preserve">Shopify transactions export</w:t>
            </w:r>
          </w:p>
          <w:p>
            <w:r>
              <w:rPr>
                <w:rFonts w:ascii="Calibri" w:cs="Calibri" w:eastAsia="Calibri" w:hAnsi="Calibri"/>
                <w:color w:val="1A2333"/>
                <w:sz w:val="18"/>
                <w:szCs w:val="18"/>
              </w:rPr>
              <w:t xml:space="preserve">7,431 orders · 4,431 customers · 49 states</w:t>
            </w:r>
          </w:p>
        </w:tc>
        <w:tc>
          <w:tcPr>
            <w:tcW w:type="dxa" w:w="4675"/>
          </w:tcPr>
          <w:p>
            <w:r>
              <w:rPr>
                <w:rFonts w:ascii="Calibri" w:cs="Calibri" w:eastAsia="Calibri" w:hAnsi="Calibri"/>
                <w:b/>
                <w:bCs/>
                <w:color w:val="5B6478"/>
                <w:sz w:val="16"/>
                <w:szCs w:val="16"/>
              </w:rPr>
              <w:t xml:space="preserve">REPORTING WINDOW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b/>
                <w:bCs/>
                <w:color w:val="0F2A4A"/>
                <w:sz w:val="20"/>
                <w:szCs w:val="20"/>
              </w:rPr>
              <w:t xml:space="preserve">18 – 24 March 2025</w:t>
            </w:r>
          </w:p>
          <w:p>
            <w:r>
              <w:rPr>
                <w:rFonts w:ascii="Calibri" w:cs="Calibri" w:eastAsia="Calibri" w:hAnsi="Calibri"/>
                <w:color w:val="1A2333"/>
                <w:sz w:val="18"/>
                <w:szCs w:val="18"/>
              </w:rPr>
              <w:t xml:space="preserve">7-day transaction snapshot</w:t>
            </w:r>
          </w:p>
        </w:tc>
      </w:tr>
    </w:tbl>
    <w:p>
      <w:pPr>
        <w:spacing w:before="900"/>
      </w:pPr>
      <w:r>
        <w:br w:type="page"/>
      </w:r>
    </w:p>
    <w:p>
      <w:pPr>
        <w:sectPr>
          <w:pgSz w:w="12240" w:h="15840" w:orient="portrait"/>
          <w:pgMar w:top="1080" w:right="1080" w:bottom="1080" w:left="1080" w:header="708" w:footer="708" w:gutter="0"/>
          <w:pgNumType/>
          <w:docGrid w:linePitch="360"/>
        </w:sectPr>
      </w:pPr>
    </w:p>
    <w:p>
      <w:pPr>
        <w:spacing w:after="120" w:before="60"/>
      </w:pPr>
      <w:r>
        <w:rPr>
          <w:rFonts w:ascii="Calibri" w:cs="Calibri" w:eastAsia="Calibri" w:hAnsi="Calibri"/>
          <w:b/>
          <w:bCs/>
          <w:color w:val="0E8388"/>
          <w:spacing w:val="20"/>
          <w:sz w:val="16"/>
          <w:szCs w:val="16"/>
        </w:rPr>
        <w:t xml:space="preserve">EXECUTIVE SUMMARY</w:t>
      </w:r>
    </w:p>
    <w:p>
      <w:pPr>
        <w:pStyle w:val="Heading1"/>
        <w:pBdr>
          <w:bottom w:val="single" w:color="0E8388" w:sz="10" w:space="6"/>
        </w:pBdr>
        <w:spacing w:after="180" w:before="420"/>
      </w:pPr>
      <w:r>
        <w:rPr>
          <w:rFonts w:ascii="Calibri" w:cs="Calibri" w:eastAsia="Calibri" w:hAnsi="Calibri"/>
          <w:b/>
          <w:bCs/>
          <w:color w:val="0F2A4A"/>
          <w:sz w:val="30"/>
          <w:szCs w:val="30"/>
        </w:rPr>
        <w:t xml:space="preserve">Shopify Sales Intelligence — Executive Summary</w:t>
      </w:r>
    </w:p>
    <w:p>
      <w:pPr>
        <w:spacing w:after="160" w:line="300"/>
      </w:pPr>
      <w:r>
        <w:rPr>
          <w:rFonts w:ascii="Calibri" w:cs="Calibri" w:eastAsia="Calibri" w:hAnsi="Calibri"/>
          <w:color w:val="1A2333"/>
          <w:sz w:val="21"/>
          <w:szCs w:val="21"/>
        </w:rPr>
        <w:t xml:space="preserve">This report presents an end-to-end Business Intelligence analysis of a footwear and outdoor-apparel Shopify store, built in Power BI and supported by a companion Python/Streamlit dashboard. Using Power Query for ETL, a star-schema data model, and DAX measures, the project analyses 7,431 orders from 4,431 customers across 49 U.S. states to surface actionable insight into revenue performance, purchasing behaviour, and customer retention.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16"/>
        <w:gridCol w:w="3117"/>
        <w:gridCol w:w="3117"/>
      </w:tblGrid>
      <w:tr>
        <w:tc>
          <w:tcPr>
            <w:tcW w:type="pct" w:w="33%"/>
            <w:tcBorders>
              <w:top w:val="single" w:color="D9E0EA" w:sz="4"/>
              <w:left w:val="single" w:color="D9E0EA" w:sz="4"/>
              <w:bottom w:val="single" w:color="0E8388" w:sz="18"/>
              <w:right w:val="single" w:color="D9E0EA" w:sz="4"/>
            </w:tcBorders>
            <w:shd w:fill="F2F5F8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5B6478"/>
                <w:sz w:val="15"/>
                <w:szCs w:val="15"/>
              </w:rPr>
              <w:t xml:space="preserve">TOTAL REVENUE</w:t>
            </w:r>
          </w:p>
          <w:p>
            <w:r>
              <w:rPr>
                <w:rFonts w:ascii="Calibri" w:cs="Calibri" w:eastAsia="Calibri" w:hAnsi="Calibri"/>
                <w:b/>
                <w:bCs/>
                <w:color w:val="0F2A4A"/>
                <w:sz w:val="30"/>
                <w:szCs w:val="30"/>
              </w:rPr>
              <w:t xml:space="preserve">$4.60M</w:t>
            </w:r>
          </w:p>
        </w:tc>
        <w:tc>
          <w:tcPr>
            <w:tcW w:type="pct" w:w="33%"/>
            <w:tcBorders>
              <w:top w:val="single" w:color="D9E0EA" w:sz="4"/>
              <w:left w:val="single" w:color="D9E0EA" w:sz="4"/>
              <w:bottom w:val="single" w:color="0F2A4A" w:sz="18"/>
              <w:right w:val="single" w:color="D9E0EA" w:sz="4"/>
            </w:tcBorders>
            <w:shd w:fill="F2F5F8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5B6478"/>
                <w:sz w:val="15"/>
                <w:szCs w:val="15"/>
              </w:rPr>
              <w:t xml:space="preserve">TOTAL ORDERS</w:t>
            </w:r>
          </w:p>
          <w:p>
            <w:r>
              <w:rPr>
                <w:rFonts w:ascii="Calibri" w:cs="Calibri" w:eastAsia="Calibri" w:hAnsi="Calibri"/>
                <w:b/>
                <w:bCs/>
                <w:color w:val="0F2A4A"/>
                <w:sz w:val="30"/>
                <w:szCs w:val="30"/>
              </w:rPr>
              <w:t xml:space="preserve">7,431</w:t>
            </w:r>
          </w:p>
        </w:tc>
        <w:tc>
          <w:tcPr>
            <w:tcW w:type="pct" w:w="33%"/>
            <w:tcBorders>
              <w:top w:val="single" w:color="D9E0EA" w:sz="4"/>
              <w:left w:val="single" w:color="D9E0EA" w:sz="4"/>
              <w:bottom w:val="single" w:color="E3A008" w:sz="18"/>
              <w:right w:val="single" w:color="D9E0EA" w:sz="4"/>
            </w:tcBorders>
            <w:shd w:fill="F2F5F8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5B6478"/>
                <w:sz w:val="15"/>
                <w:szCs w:val="15"/>
              </w:rPr>
              <w:t xml:space="preserve">AVG. ORDER VALUE</w:t>
            </w:r>
          </w:p>
          <w:p>
            <w:r>
              <w:rPr>
                <w:rFonts w:ascii="Calibri" w:cs="Calibri" w:eastAsia="Calibri" w:hAnsi="Calibri"/>
                <w:b/>
                <w:bCs/>
                <w:color w:val="0F2A4A"/>
                <w:sz w:val="30"/>
                <w:szCs w:val="30"/>
              </w:rPr>
              <w:t xml:space="preserve">$618.89</w:t>
            </w:r>
          </w:p>
        </w:tc>
      </w:tr>
      <w:tr>
        <w:tc>
          <w:tcPr>
            <w:tcW w:type="pct" w:w="33%"/>
            <w:tcBorders>
              <w:top w:val="single" w:color="D9E0EA" w:sz="4"/>
              <w:left w:val="single" w:color="D9E0EA" w:sz="4"/>
              <w:bottom w:val="single" w:color="E85D4C" w:sz="18"/>
              <w:right w:val="single" w:color="D9E0EA" w:sz="4"/>
            </w:tcBorders>
            <w:shd w:fill="F2F5F8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5B6478"/>
                <w:sz w:val="15"/>
                <w:szCs w:val="15"/>
              </w:rPr>
              <w:t xml:space="preserve">UNIQUE CUSTOMERS</w:t>
            </w:r>
          </w:p>
          <w:p>
            <w:r>
              <w:rPr>
                <w:rFonts w:ascii="Calibri" w:cs="Calibri" w:eastAsia="Calibri" w:hAnsi="Calibri"/>
                <w:b/>
                <w:bCs/>
                <w:color w:val="0F2A4A"/>
                <w:sz w:val="30"/>
                <w:szCs w:val="30"/>
              </w:rPr>
              <w:t xml:space="preserve">4,431</w:t>
            </w:r>
          </w:p>
        </w:tc>
        <w:tc>
          <w:tcPr>
            <w:tcW w:type="pct" w:w="33%"/>
            <w:tcBorders>
              <w:top w:val="single" w:color="D9E0EA" w:sz="4"/>
              <w:left w:val="single" w:color="D9E0EA" w:sz="4"/>
              <w:bottom w:val="single" w:color="0E8388" w:sz="18"/>
              <w:right w:val="single" w:color="D9E0EA" w:sz="4"/>
            </w:tcBorders>
            <w:shd w:fill="F2F5F8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5B6478"/>
                <w:sz w:val="15"/>
                <w:szCs w:val="15"/>
              </w:rPr>
              <w:t xml:space="preserve">REPEAT PURCHASE RATE</w:t>
            </w:r>
          </w:p>
          <w:p>
            <w:r>
              <w:rPr>
                <w:rFonts w:ascii="Calibri" w:cs="Calibri" w:eastAsia="Calibri" w:hAnsi="Calibri"/>
                <w:b/>
                <w:bCs/>
                <w:color w:val="0F2A4A"/>
                <w:sz w:val="30"/>
                <w:szCs w:val="30"/>
              </w:rPr>
              <w:t xml:space="preserve">46.0%</w:t>
            </w:r>
          </w:p>
        </w:tc>
        <w:tc>
          <w:tcPr>
            <w:tcW w:type="pct" w:w="33%"/>
            <w:tcBorders>
              <w:top w:val="single" w:color="D9E0EA" w:sz="4"/>
              <w:left w:val="single" w:color="D9E0EA" w:sz="4"/>
              <w:bottom w:val="single" w:color="0F2A4A" w:sz="18"/>
              <w:right w:val="single" w:color="D9E0EA" w:sz="4"/>
            </w:tcBorders>
            <w:shd w:fill="F2F5F8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5B6478"/>
                <w:sz w:val="15"/>
                <w:szCs w:val="15"/>
              </w:rPr>
              <w:t xml:space="preserve">PURCHASE FREQUENCY</w:t>
            </w:r>
          </w:p>
          <w:p>
            <w:r>
              <w:rPr>
                <w:rFonts w:ascii="Calibri" w:cs="Calibri" w:eastAsia="Calibri" w:hAnsi="Calibri"/>
                <w:b/>
                <w:bCs/>
                <w:color w:val="0F2A4A"/>
                <w:sz w:val="30"/>
                <w:szCs w:val="30"/>
              </w:rPr>
              <w:t xml:space="preserve">1.68 orders</w:t>
            </w:r>
          </w:p>
        </w:tc>
      </w:tr>
    </w:tbl>
    <w:p>
      <w:pPr>
        <w:spacing w:after="160" w:line="300"/>
      </w:pPr>
      <w:r>
        <w:rPr>
          <w:rFonts w:ascii="Calibri" w:cs="Calibri" w:eastAsia="Calibri" w:hAnsi="Calibri"/>
          <w:color w:val="1A2333"/>
          <w:sz w:val="21"/>
          <w:szCs w:val="21"/>
        </w:rPr>
        <w:t xml:space="preserve"> 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rFonts w:ascii="Calibri" w:cs="Calibri" w:eastAsia="Calibri" w:hAnsi="Calibri"/>
          <w:b/>
          <w:bCs/>
          <w:color w:val="0F2A4A"/>
          <w:sz w:val="21"/>
          <w:szCs w:val="21"/>
        </w:rPr>
        <w:t xml:space="preserve">Revenue is concentrated in footwear. </w:t>
      </w:r>
      <w:r>
        <w:rPr>
          <w:rFonts w:ascii="Calibri" w:cs="Calibri" w:eastAsia="Calibri" w:hAnsi="Calibri"/>
          <w:color w:val="1A2333"/>
          <w:sz w:val="21"/>
          <w:szCs w:val="21"/>
        </w:rPr>
        <w:t xml:space="preserve">Running Shoes alone generate 35.2% of total revenue ($1.62M); the top three footwear categories account for over 71% of sales.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rFonts w:ascii="Calibri" w:cs="Calibri" w:eastAsia="Calibri" w:hAnsi="Calibri"/>
          <w:b/>
          <w:bCs/>
          <w:color w:val="0F2A4A"/>
          <w:sz w:val="21"/>
          <w:szCs w:val="21"/>
        </w:rPr>
        <w:t xml:space="preserve">Repeat customers are the profit engine. </w:t>
      </w:r>
      <w:r>
        <w:rPr>
          <w:rFonts w:ascii="Calibri" w:cs="Calibri" w:eastAsia="Calibri" w:hAnsi="Calibri"/>
          <w:color w:val="1A2333"/>
          <w:sz w:val="21"/>
          <w:szCs w:val="21"/>
        </w:rPr>
        <w:t xml:space="preserve">46% of customers are repeat buyers, yet they generate 67.8% of total revenue — nearly double their share of the customer base.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rFonts w:ascii="Calibri" w:cs="Calibri" w:eastAsia="Calibri" w:hAnsi="Calibri"/>
          <w:b/>
          <w:bCs/>
          <w:color w:val="0F2A4A"/>
          <w:sz w:val="21"/>
          <w:szCs w:val="21"/>
        </w:rPr>
        <w:t xml:space="preserve">Demand is geographically concentrated. </w:t>
      </w:r>
      <w:r>
        <w:rPr>
          <w:rFonts w:ascii="Calibri" w:cs="Calibri" w:eastAsia="Calibri" w:hAnsi="Calibri"/>
          <w:color w:val="1A2333"/>
          <w:sz w:val="21"/>
          <w:szCs w:val="21"/>
        </w:rPr>
        <w:t xml:space="preserve">California, Texas and Florida together contribute 31.9% of revenue, led at the city level by Washington, D.C.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rFonts w:ascii="Calibri" w:cs="Calibri" w:eastAsia="Calibri" w:hAnsi="Calibri"/>
          <w:b/>
          <w:bCs/>
          <w:color w:val="0F2A4A"/>
          <w:sz w:val="21"/>
          <w:szCs w:val="21"/>
        </w:rPr>
        <w:t xml:space="preserve">Shopping peaks are predictable. </w:t>
      </w:r>
      <w:r>
        <w:rPr>
          <w:rFonts w:ascii="Calibri" w:cs="Calibri" w:eastAsia="Calibri" w:hAnsi="Calibri"/>
          <w:color w:val="1A2333"/>
          <w:sz w:val="21"/>
          <w:szCs w:val="21"/>
        </w:rPr>
        <w:t xml:space="preserve">Monday is the highest-revenue day and 10 AM–4 PM is the peak ordering window — a clear signal for promotions and staffing.</w:t>
      </w:r>
    </w:p>
    <w:p>
      <w:r>
        <w:br w:type="page"/>
      </w:r>
    </w:p>
    <w:p>
      <w:pPr>
        <w:spacing w:after="120" w:before="60"/>
      </w:pPr>
      <w:r>
        <w:rPr>
          <w:rFonts w:ascii="Calibri" w:cs="Calibri" w:eastAsia="Calibri" w:hAnsi="Calibri"/>
          <w:b/>
          <w:bCs/>
          <w:color w:val="0E8388"/>
          <w:spacing w:val="20"/>
          <w:sz w:val="16"/>
          <w:szCs w:val="16"/>
        </w:rPr>
        <w:t xml:space="preserve">STAGE 0</w:t>
      </w:r>
    </w:p>
    <w:p>
      <w:pPr>
        <w:pStyle w:val="Heading1"/>
        <w:pBdr>
          <w:bottom w:val="single" w:color="0E8388" w:sz="10" w:space="6"/>
        </w:pBdr>
        <w:spacing w:after="180" w:before="420"/>
      </w:pPr>
      <w:r>
        <w:rPr>
          <w:rFonts w:ascii="Calibri" w:cs="Calibri" w:eastAsia="Calibri" w:hAnsi="Calibri"/>
          <w:b/>
          <w:bCs/>
          <w:color w:val="0F2A4A"/>
          <w:sz w:val="30"/>
          <w:szCs w:val="30"/>
        </w:rPr>
        <w:t xml:space="preserve">Problem Statement &amp; Objectives</w:t>
      </w:r>
    </w:p>
    <w:p>
      <w:pPr>
        <w:pStyle w:val="Heading2"/>
        <w:spacing w:after="140" w:before="320"/>
      </w:pPr>
      <w:r>
        <w:rPr>
          <w:rFonts w:ascii="Calibri" w:cs="Calibri" w:eastAsia="Calibri" w:hAnsi="Calibri"/>
          <w:b/>
          <w:bCs/>
          <w:color w:val="0E8388"/>
          <w:sz w:val="24"/>
          <w:szCs w:val="24"/>
        </w:rPr>
        <w:t xml:space="preserve">Project Goal &amp; Stakeholders</w:t>
      </w:r>
    </w:p>
    <w:p>
      <w:pPr>
        <w:spacing w:after="160" w:line="300"/>
      </w:pPr>
      <w:r>
        <w:rPr>
          <w:rFonts w:ascii="Calibri" w:cs="Calibri" w:eastAsia="Calibri" w:hAnsi="Calibri"/>
          <w:color w:val="1A2333"/>
          <w:sz w:val="21"/>
          <w:szCs w:val="21"/>
        </w:rPr>
        <w:t xml:space="preserve">The goal of this project is to design an interactive Power BI dashboard that turns raw Shopify transaction exports into a decision-ready view of the business. The primary stakeholders are the store owner / General Manager, the Marketing team, and Merchandising / Inventory planners. The dashboard should help them decide where to invest marketing spend, which product lines to stock more (or less) aggressively, and which customer segments deserve retention investment.</w:t>
      </w:r>
    </w:p>
    <w:p>
      <w:pPr>
        <w:pStyle w:val="Heading2"/>
        <w:spacing w:after="140" w:before="320"/>
      </w:pPr>
      <w:r>
        <w:rPr>
          <w:rFonts w:ascii="Calibri" w:cs="Calibri" w:eastAsia="Calibri" w:hAnsi="Calibri"/>
          <w:b/>
          <w:bCs/>
          <w:color w:val="0E8388"/>
          <w:sz w:val="24"/>
          <w:szCs w:val="24"/>
        </w:rPr>
        <w:t xml:space="preserve">Business Questions the Dashboard Answers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rFonts w:ascii="Calibri" w:cs="Calibri" w:eastAsia="Calibri" w:hAnsi="Calibri"/>
          <w:color w:val="1A2333"/>
          <w:sz w:val="21"/>
          <w:szCs w:val="21"/>
        </w:rPr>
        <w:t xml:space="preserve">How much revenue are we generating, and how is it trending day over day?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rFonts w:ascii="Calibri" w:cs="Calibri" w:eastAsia="Calibri" w:hAnsi="Calibri"/>
          <w:color w:val="1A2333"/>
          <w:sz w:val="21"/>
          <w:szCs w:val="21"/>
        </w:rPr>
        <w:t xml:space="preserve">Which products and geographies drive the most (and least) revenue?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rFonts w:ascii="Calibri" w:cs="Calibri" w:eastAsia="Calibri" w:hAnsi="Calibri"/>
          <w:color w:val="1A2333"/>
          <w:sz w:val="21"/>
          <w:szCs w:val="21"/>
        </w:rPr>
        <w:t xml:space="preserve">When do customers actually shop — which days and hours should promotions target?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rFonts w:ascii="Calibri" w:cs="Calibri" w:eastAsia="Calibri" w:hAnsi="Calibri"/>
          <w:color w:val="1A2333"/>
          <w:sz w:val="21"/>
          <w:szCs w:val="21"/>
        </w:rPr>
        <w:t xml:space="preserve">What share of customers return, and how much more valuable are they than one-time buyers?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rFonts w:ascii="Calibri" w:cs="Calibri" w:eastAsia="Calibri" w:hAnsi="Calibri"/>
          <w:color w:val="1A2333"/>
          <w:sz w:val="21"/>
          <w:szCs w:val="21"/>
        </w:rPr>
        <w:t xml:space="preserve">Which customers should be prioritised for retention, and what is their long-term value?</w:t>
      </w:r>
    </w:p>
    <w:p>
      <w:pPr>
        <w:pStyle w:val="Heading2"/>
        <w:spacing w:after="140" w:before="320"/>
      </w:pPr>
      <w:r>
        <w:rPr>
          <w:rFonts w:ascii="Calibri" w:cs="Calibri" w:eastAsia="Calibri" w:hAnsi="Calibri"/>
          <w:b/>
          <w:bCs/>
          <w:color w:val="0E8388"/>
          <w:sz w:val="24"/>
          <w:szCs w:val="24"/>
        </w:rPr>
        <w:t xml:space="preserve">Key Metrics (KPIs) Tracked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rFonts w:ascii="Calibri" w:cs="Calibri" w:eastAsia="Calibri" w:hAnsi="Calibri"/>
          <w:color w:val="1A2333"/>
          <w:sz w:val="21"/>
          <w:szCs w:val="21"/>
        </w:rPr>
        <w:t xml:space="preserve">Total Revenue, Total Orders, Average Order Value (AOV)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rFonts w:ascii="Calibri" w:cs="Calibri" w:eastAsia="Calibri" w:hAnsi="Calibri"/>
          <w:color w:val="1A2333"/>
          <w:sz w:val="21"/>
          <w:szCs w:val="21"/>
        </w:rPr>
        <w:t xml:space="preserve">Unique Customers, Repeat Purchase Rate, Purchase Frequency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rFonts w:ascii="Calibri" w:cs="Calibri" w:eastAsia="Calibri" w:hAnsi="Calibri"/>
          <w:color w:val="1A2333"/>
          <w:sz w:val="21"/>
          <w:szCs w:val="21"/>
        </w:rPr>
        <w:t xml:space="preserve">Revenue by Product Type, State, and City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rFonts w:ascii="Calibri" w:cs="Calibri" w:eastAsia="Calibri" w:hAnsi="Calibri"/>
          <w:color w:val="1A2333"/>
          <w:sz w:val="21"/>
          <w:szCs w:val="21"/>
        </w:rPr>
        <w:t xml:space="preserve">Revenue concentration (Pareto share held by top 10% / 20% of customers)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rFonts w:ascii="Calibri" w:cs="Calibri" w:eastAsia="Calibri" w:hAnsi="Calibri"/>
          <w:color w:val="1A2333"/>
          <w:sz w:val="21"/>
          <w:szCs w:val="21"/>
        </w:rPr>
        <w:t xml:space="preserve">Customer Lifetime Value (CLV) proxy</w:t>
      </w:r>
    </w:p>
    <w:p>
      <w:pPr>
        <w:pStyle w:val="Heading2"/>
        <w:spacing w:after="140" w:before="320"/>
      </w:pPr>
      <w:r>
        <w:rPr>
          <w:rFonts w:ascii="Calibri" w:cs="Calibri" w:eastAsia="Calibri" w:hAnsi="Calibri"/>
          <w:b/>
          <w:bCs/>
          <w:color w:val="0E8388"/>
          <w:sz w:val="24"/>
          <w:szCs w:val="24"/>
        </w:rPr>
        <w:t xml:space="preserve">Objective &amp; Deliverables</w:t>
      </w:r>
    </w:p>
    <w:p>
      <w:pPr>
        <w:spacing w:after="160" w:line="300"/>
      </w:pPr>
      <w:r>
        <w:rPr>
          <w:rFonts w:ascii="Calibri" w:cs="Calibri" w:eastAsia="Calibri" w:hAnsi="Calibri"/>
          <w:color w:val="1A2333"/>
          <w:sz w:val="21"/>
          <w:szCs w:val="21"/>
        </w:rPr>
        <w:t xml:space="preserve">The single deliverable is an interactive, cross-filtering Power BI dashboard (Shopify_Sales_Analytics_Dashboard.pbix) accompanied by this written report. Three steps were taken to reach it: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rFonts w:ascii="Calibri" w:cs="Calibri" w:eastAsia="Calibri" w:hAnsi="Calibri"/>
          <w:color w:val="1A2333"/>
          <w:sz w:val="21"/>
          <w:szCs w:val="21"/>
        </w:rPr>
        <w:t xml:space="preserve">1.  Import and clean the Shopify export in Power Query, then build a star-schema data model with a dedicated Date table.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rFonts w:ascii="Calibri" w:cs="Calibri" w:eastAsia="Calibri" w:hAnsi="Calibri"/>
          <w:color w:val="1A2333"/>
          <w:sz w:val="21"/>
          <w:szCs w:val="21"/>
        </w:rPr>
        <w:t xml:space="preserve">2.  Build DAX measures for revenue, orders, customer behaviour and retention, and validate them against the raw data.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rFonts w:ascii="Calibri" w:cs="Calibri" w:eastAsia="Calibri" w:hAnsi="Calibri"/>
          <w:color w:val="1A2333"/>
          <w:sz w:val="21"/>
          <w:szCs w:val="21"/>
        </w:rPr>
        <w:t xml:space="preserve">3.  Design a dashboard layout (KPI cards → trends → detail) with slicers for date, product type, and state, then translate the findings into business recommendations.</w:t>
      </w:r>
    </w:p>
    <w:p>
      <w:r>
        <w:br w:type="page"/>
      </w:r>
    </w:p>
    <w:p>
      <w:pPr>
        <w:spacing w:after="120" w:before="60"/>
      </w:pPr>
      <w:r>
        <w:rPr>
          <w:rFonts w:ascii="Calibri" w:cs="Calibri" w:eastAsia="Calibri" w:hAnsi="Calibri"/>
          <w:b/>
          <w:bCs/>
          <w:color w:val="0E8388"/>
          <w:spacing w:val="20"/>
          <w:sz w:val="16"/>
          <w:szCs w:val="16"/>
        </w:rPr>
        <w:t xml:space="preserve">STAGE 1</w:t>
      </w:r>
    </w:p>
    <w:p>
      <w:pPr>
        <w:pStyle w:val="Heading1"/>
        <w:pBdr>
          <w:bottom w:val="single" w:color="0E8388" w:sz="10" w:space="6"/>
        </w:pBdr>
        <w:spacing w:after="180" w:before="420"/>
      </w:pPr>
      <w:r>
        <w:rPr>
          <w:rFonts w:ascii="Calibri" w:cs="Calibri" w:eastAsia="Calibri" w:hAnsi="Calibri"/>
          <w:b/>
          <w:bCs/>
          <w:color w:val="0F2A4A"/>
          <w:sz w:val="30"/>
          <w:szCs w:val="30"/>
        </w:rPr>
        <w:t xml:space="preserve">Data Preparation &amp; Modeling</w:t>
      </w:r>
    </w:p>
    <w:p>
      <w:pPr>
        <w:pStyle w:val="Heading2"/>
        <w:spacing w:after="140" w:before="320"/>
      </w:pPr>
      <w:r>
        <w:rPr>
          <w:rFonts w:ascii="Calibri" w:cs="Calibri" w:eastAsia="Calibri" w:hAnsi="Calibri"/>
          <w:b/>
          <w:bCs/>
          <w:color w:val="0E8388"/>
          <w:sz w:val="24"/>
          <w:szCs w:val="24"/>
        </w:rPr>
        <w:t xml:space="preserve">Import &amp; Clean (Power Query)</w:t>
      </w:r>
    </w:p>
    <w:p>
      <w:pPr>
        <w:spacing w:after="160" w:line="300"/>
      </w:pPr>
      <w:r>
        <w:rPr>
          <w:rFonts w:ascii="Calibri" w:cs="Calibri" w:eastAsia="Calibri" w:hAnsi="Calibri"/>
          <w:color w:val="1A2333"/>
          <w:sz w:val="21"/>
          <w:szCs w:val="21"/>
        </w:rPr>
        <w:t xml:space="preserve">The source is a single flat export, shopify_data.csv, loaded into Power BI via Power Query. It contains 7,431 rows — one row per order — with no missing values in any of the 10 columns after cleaning.</w:t>
      </w:r>
    </w:p>
    <w:tbl>
      <w:tblPr>
        <w:tblW w:type="dxa" w:w="9350"/>
        <w:tblBorders>
          <w:top w:val="single" w:color="D9E0EA" w:sz="4"/>
          <w:left w:val="single" w:color="D9E0EA" w:sz="4"/>
          <w:bottom w:val="single" w:color="D9E0EA" w:sz="4"/>
          <w:right w:val="single" w:color="D9E0EA" w:sz="4"/>
          <w:insideH w:val="single" w:color="D9E0EA" w:sz="4"/>
          <w:insideV w:val="single" w:color="D9E0EA" w:sz="4"/>
        </w:tblBorders>
      </w:tblPr>
      <w:tblGrid>
        <w:gridCol w:w="2600"/>
        <w:gridCol w:w="1800"/>
        <w:gridCol w:w="4950"/>
      </w:tblGrid>
      <w:tr>
        <w:trPr>
          <w:tblHeader/>
        </w:trPr>
        <w:tc>
          <w:tcPr>
            <w:tcW w:type="dxa" w:w="2600"/>
            <w:shd w:fill="0F2A4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1800"/>
            <w:shd w:fill="0F2A4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4950"/>
            <w:shd w:fill="0F2A4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color w:val="1A2333"/>
                <w:sz w:val="18"/>
                <w:szCs w:val="18"/>
              </w:rPr>
              <w:t xml:space="preserve">Order Number</w:t>
            </w:r>
          </w:p>
        </w:tc>
        <w:tc>
          <w:tcPr>
            <w:tcW w:type="dxa" w:w="18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color w:val="1A2333"/>
                <w:sz w:val="18"/>
                <w:szCs w:val="18"/>
              </w:rPr>
              <w:t xml:space="preserve">Whole number</w:t>
            </w:r>
          </w:p>
        </w:tc>
        <w:tc>
          <w:tcPr>
            <w:tcW w:type="dxa" w:w="495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color w:val="1A2333"/>
                <w:sz w:val="18"/>
                <w:szCs w:val="18"/>
              </w:rPr>
              <w:t xml:space="preserve">Unique order identifier (primary key of the fact table)</w:t>
            </w:r>
          </w:p>
        </w:tc>
      </w:tr>
      <w:tr>
        <w:tc>
          <w:tcPr>
            <w:tcW w:type="dxa" w:w="2600"/>
            <w:shd w:fill="F2F5F8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color w:val="1A2333"/>
                <w:sz w:val="18"/>
                <w:szCs w:val="18"/>
              </w:rPr>
              <w:t xml:space="preserve">Customer Id</w:t>
            </w:r>
          </w:p>
        </w:tc>
        <w:tc>
          <w:tcPr>
            <w:tcW w:type="dxa" w:w="1800"/>
            <w:shd w:fill="F2F5F8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color w:val="1A2333"/>
                <w:sz w:val="18"/>
                <w:szCs w:val="18"/>
              </w:rPr>
              <w:t xml:space="preserve">Whole number</w:t>
            </w:r>
          </w:p>
        </w:tc>
        <w:tc>
          <w:tcPr>
            <w:tcW w:type="dxa" w:w="4950"/>
            <w:shd w:fill="F2F5F8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color w:val="1A2333"/>
                <w:sz w:val="18"/>
                <w:szCs w:val="18"/>
              </w:rPr>
              <w:t xml:space="preserve">Unique customer identifier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color w:val="1A2333"/>
                <w:sz w:val="18"/>
                <w:szCs w:val="18"/>
              </w:rPr>
              <w:t xml:space="preserve">Invoice Date</w:t>
            </w:r>
          </w:p>
        </w:tc>
        <w:tc>
          <w:tcPr>
            <w:tcW w:type="dxa" w:w="18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color w:val="1A2333"/>
                <w:sz w:val="18"/>
                <w:szCs w:val="18"/>
              </w:rPr>
              <w:t xml:space="preserve">Date/Time</w:t>
            </w:r>
          </w:p>
        </w:tc>
        <w:tc>
          <w:tcPr>
            <w:tcW w:type="dxa" w:w="495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color w:val="1A2333"/>
                <w:sz w:val="18"/>
                <w:szCs w:val="18"/>
              </w:rPr>
              <w:t xml:space="preserve">Timestamp of the order</w:t>
            </w:r>
          </w:p>
        </w:tc>
      </w:tr>
      <w:tr>
        <w:tc>
          <w:tcPr>
            <w:tcW w:type="dxa" w:w="2600"/>
            <w:shd w:fill="F2F5F8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color w:val="1A2333"/>
                <w:sz w:val="18"/>
                <w:szCs w:val="18"/>
              </w:rPr>
              <w:t xml:space="preserve">Product Type</w:t>
            </w:r>
          </w:p>
        </w:tc>
        <w:tc>
          <w:tcPr>
            <w:tcW w:type="dxa" w:w="1800"/>
            <w:shd w:fill="F2F5F8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color w:val="1A2333"/>
                <w:sz w:val="18"/>
                <w:szCs w:val="18"/>
              </w:rPr>
              <w:t xml:space="preserve">Text</w:t>
            </w:r>
          </w:p>
        </w:tc>
        <w:tc>
          <w:tcPr>
            <w:tcW w:type="dxa" w:w="4950"/>
            <w:shd w:fill="F2F5F8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color w:val="1A2333"/>
                <w:sz w:val="18"/>
                <w:szCs w:val="18"/>
              </w:rPr>
              <w:t xml:space="preserve">Product category (14 distinct values, e.g. Running Shoes, Boots)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color w:val="1A2333"/>
                <w:sz w:val="18"/>
                <w:szCs w:val="18"/>
              </w:rPr>
              <w:t xml:space="preserve">Quantity</w:t>
            </w:r>
          </w:p>
        </w:tc>
        <w:tc>
          <w:tcPr>
            <w:tcW w:type="dxa" w:w="18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color w:val="1A2333"/>
                <w:sz w:val="18"/>
                <w:szCs w:val="18"/>
              </w:rPr>
              <w:t xml:space="preserve">Whole number</w:t>
            </w:r>
          </w:p>
        </w:tc>
        <w:tc>
          <w:tcPr>
            <w:tcW w:type="dxa" w:w="495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color w:val="1A2333"/>
                <w:sz w:val="18"/>
                <w:szCs w:val="18"/>
              </w:rPr>
              <w:t xml:space="preserve">Units purchased on the order</w:t>
            </w:r>
          </w:p>
        </w:tc>
      </w:tr>
      <w:tr>
        <w:tc>
          <w:tcPr>
            <w:tcW w:type="dxa" w:w="2600"/>
            <w:shd w:fill="F2F5F8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color w:val="1A2333"/>
                <w:sz w:val="18"/>
                <w:szCs w:val="18"/>
              </w:rPr>
              <w:t xml:space="preserve">CITY / Billing Address Province</w:t>
            </w:r>
          </w:p>
        </w:tc>
        <w:tc>
          <w:tcPr>
            <w:tcW w:type="dxa" w:w="1800"/>
            <w:shd w:fill="F2F5F8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color w:val="1A2333"/>
                <w:sz w:val="18"/>
                <w:szCs w:val="18"/>
              </w:rPr>
              <w:t xml:space="preserve">Text</w:t>
            </w:r>
          </w:p>
        </w:tc>
        <w:tc>
          <w:tcPr>
            <w:tcW w:type="dxa" w:w="4950"/>
            <w:shd w:fill="F2F5F8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color w:val="1A2333"/>
                <w:sz w:val="18"/>
                <w:szCs w:val="18"/>
              </w:rPr>
              <w:t xml:space="preserve">Customer's billing city and U.S. state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color w:val="1A2333"/>
                <w:sz w:val="18"/>
                <w:szCs w:val="18"/>
              </w:rPr>
              <w:t xml:space="preserve">Subtotal Price / Total Price USD / Total Tax</w:t>
            </w:r>
          </w:p>
        </w:tc>
        <w:tc>
          <w:tcPr>
            <w:tcW w:type="dxa" w:w="18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color w:val="1A2333"/>
                <w:sz w:val="18"/>
                <w:szCs w:val="18"/>
              </w:rPr>
              <w:t xml:space="preserve">Decimal</w:t>
            </w:r>
          </w:p>
        </w:tc>
        <w:tc>
          <w:tcPr>
            <w:tcW w:type="dxa" w:w="495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color w:val="1A2333"/>
                <w:sz w:val="18"/>
                <w:szCs w:val="18"/>
              </w:rPr>
              <w:t xml:space="preserve">Pre-tax, post-tax, and tax amounts in USD</w:t>
            </w:r>
          </w:p>
        </w:tc>
      </w:tr>
    </w:tbl>
    <w:p>
      <w:pPr>
        <w:spacing w:after="160" w:line="300"/>
      </w:pPr>
      <w:r>
        <w:rPr>
          <w:rFonts w:ascii="Calibri" w:cs="Calibri" w:eastAsia="Calibri" w:hAnsi="Calibri"/>
          <w:color w:val="1A2333"/>
          <w:sz w:val="21"/>
          <w:szCs w:val="21"/>
        </w:rPr>
        <w:t xml:space="preserve"> </w:t>
      </w:r>
    </w:p>
    <w:p>
      <w:pPr>
        <w:spacing w:after="160" w:line="300"/>
      </w:pPr>
      <w:r>
        <w:rPr>
          <w:rFonts w:ascii="Calibri" w:cs="Calibri" w:eastAsia="Calibri" w:hAnsi="Calibri"/>
          <w:color w:val="1A2333"/>
          <w:sz w:val="21"/>
          <w:szCs w:val="21"/>
        </w:rPr>
        <w:t xml:space="preserve">Power Query cleaning steps applied: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rFonts w:ascii="Calibri" w:cs="Calibri" w:eastAsia="Calibri" w:hAnsi="Calibri"/>
          <w:b/>
          <w:bCs/>
          <w:color w:val="0F2A4A"/>
          <w:sz w:val="21"/>
          <w:szCs w:val="21"/>
        </w:rPr>
        <w:t xml:space="preserve">Type correction — </w:t>
      </w:r>
      <w:r>
        <w:rPr>
          <w:rFonts w:ascii="Calibri" w:cs="Calibri" w:eastAsia="Calibri" w:hAnsi="Calibri"/>
          <w:color w:val="1A2333"/>
          <w:sz w:val="21"/>
          <w:szCs w:val="21"/>
        </w:rPr>
        <w:t xml:space="preserve">Invoice Date was set to Date/Time (it loaded as text in the raw export); price and tax fields were set to Fixed Decimal, and ID fields to Whole Number, so aggregations and time intelligence work correctly.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rFonts w:ascii="Calibri" w:cs="Calibri" w:eastAsia="Calibri" w:hAnsi="Calibri"/>
          <w:b/>
          <w:bCs/>
          <w:color w:val="0F2A4A"/>
          <w:sz w:val="21"/>
          <w:szCs w:val="21"/>
        </w:rPr>
        <w:t xml:space="preserve">Text standardisation — </w:t>
      </w:r>
      <w:r>
        <w:rPr>
          <w:rFonts w:ascii="Calibri" w:cs="Calibri" w:eastAsia="Calibri" w:hAnsi="Calibri"/>
          <w:color w:val="1A2333"/>
          <w:sz w:val="21"/>
          <w:szCs w:val="21"/>
        </w:rPr>
        <w:t xml:space="preserve">City and State values were trimmed and cased consistently (e.g. "houston" / "HOUSTON" → "Houston") to prevent duplicate groups in visuals.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rFonts w:ascii="Calibri" w:cs="Calibri" w:eastAsia="Calibri" w:hAnsi="Calibri"/>
          <w:b/>
          <w:bCs/>
          <w:color w:val="0F2A4A"/>
          <w:sz w:val="21"/>
          <w:szCs w:val="21"/>
        </w:rPr>
        <w:t xml:space="preserve">Duplicate &amp; null check — </w:t>
      </w:r>
      <w:r>
        <w:rPr>
          <w:rFonts w:ascii="Calibri" w:cs="Calibri" w:eastAsia="Calibri" w:hAnsi="Calibri"/>
          <w:color w:val="1A2333"/>
          <w:sz w:val="21"/>
          <w:szCs w:val="21"/>
        </w:rPr>
        <w:t xml:space="preserve">Order Number was verified as unique (7,431 distinct values across 7,431 rows) and every column was confirmed free of nulls, so no imputation was required.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rFonts w:ascii="Calibri" w:cs="Calibri" w:eastAsia="Calibri" w:hAnsi="Calibri"/>
          <w:b/>
          <w:bCs/>
          <w:color w:val="0F2A4A"/>
          <w:sz w:val="21"/>
          <w:szCs w:val="21"/>
        </w:rPr>
        <w:t xml:space="preserve">Helper columns — </w:t>
      </w:r>
      <w:r>
        <w:rPr>
          <w:rFonts w:ascii="Calibri" w:cs="Calibri" w:eastAsia="Calibri" w:hAnsi="Calibri"/>
          <w:color w:val="1A2333"/>
          <w:sz w:val="21"/>
          <w:szCs w:val="21"/>
        </w:rPr>
        <w:t xml:space="preserve">Order Date (date only, no time), Order Month, Day of Week, and Hour of Day were added for time-based slicing; a First vs. Repeat Order flag was derived per customer using a running count of orders in Power Query / DAX.</w:t>
      </w:r>
    </w:p>
    <w:p>
      <w:pPr>
        <w:pStyle w:val="Heading2"/>
        <w:spacing w:after="140" w:before="320"/>
      </w:pPr>
      <w:r>
        <w:rPr>
          <w:rFonts w:ascii="Calibri" w:cs="Calibri" w:eastAsia="Calibri" w:hAnsi="Calibri"/>
          <w:b/>
          <w:bCs/>
          <w:color w:val="0E8388"/>
          <w:sz w:val="24"/>
          <w:szCs w:val="24"/>
        </w:rPr>
        <w:t xml:space="preserve">Data Model</w:t>
      </w:r>
    </w:p>
    <w:p>
      <w:pPr>
        <w:spacing w:after="160" w:line="300"/>
      </w:pPr>
      <w:r>
        <w:rPr>
          <w:rFonts w:ascii="Calibri" w:cs="Calibri" w:eastAsia="Calibri" w:hAnsi="Calibri"/>
          <w:color w:val="1A2333"/>
          <w:sz w:val="21"/>
          <w:szCs w:val="21"/>
        </w:rPr>
        <w:t xml:space="preserve">The model follows a star schema: one fact table (Orders) surrounded by lookup/dimension tables, so DAX measures aggregate cleanly and slicers filter every visual consistently.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rFonts w:ascii="Calibri" w:cs="Calibri" w:eastAsia="Calibri" w:hAnsi="Calibri"/>
          <w:b/>
          <w:bCs/>
          <w:color w:val="0F2A4A"/>
          <w:sz w:val="21"/>
          <w:szCs w:val="21"/>
        </w:rPr>
        <w:t xml:space="preserve">Fact_Orders — </w:t>
      </w:r>
      <w:r>
        <w:rPr>
          <w:rFonts w:ascii="Calibri" w:cs="Calibri" w:eastAsia="Calibri" w:hAnsi="Calibri"/>
          <w:color w:val="1A2333"/>
          <w:sz w:val="21"/>
          <w:szCs w:val="21"/>
        </w:rPr>
        <w:t xml:space="preserve">the cleaned Shopify export (grain: one row per order).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rFonts w:ascii="Calibri" w:cs="Calibri" w:eastAsia="Calibri" w:hAnsi="Calibri"/>
          <w:b/>
          <w:bCs/>
          <w:color w:val="0F2A4A"/>
          <w:sz w:val="21"/>
          <w:szCs w:val="21"/>
        </w:rPr>
        <w:t xml:space="preserve">Dim_Date — </w:t>
      </w:r>
      <w:r>
        <w:rPr>
          <w:rFonts w:ascii="Calibri" w:cs="Calibri" w:eastAsia="Calibri" w:hAnsi="Calibri"/>
          <w:color w:val="1A2333"/>
          <w:sz w:val="21"/>
          <w:szCs w:val="21"/>
        </w:rPr>
        <w:t xml:space="preserve">a dedicated calendar table marked as the official Date table, related to Fact_Orders on Order Date.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rFonts w:ascii="Calibri" w:cs="Calibri" w:eastAsia="Calibri" w:hAnsi="Calibri"/>
          <w:b/>
          <w:bCs/>
          <w:color w:val="0F2A4A"/>
          <w:sz w:val="21"/>
          <w:szCs w:val="21"/>
        </w:rPr>
        <w:t xml:space="preserve">Dim_Product — </w:t>
      </w:r>
      <w:r>
        <w:rPr>
          <w:rFonts w:ascii="Calibri" w:cs="Calibri" w:eastAsia="Calibri" w:hAnsi="Calibri"/>
          <w:color w:val="1A2333"/>
          <w:sz w:val="21"/>
          <w:szCs w:val="21"/>
        </w:rPr>
        <w:t xml:space="preserve">distinct Product Type values, related on Product Type.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rFonts w:ascii="Calibri" w:cs="Calibri" w:eastAsia="Calibri" w:hAnsi="Calibri"/>
          <w:b/>
          <w:bCs/>
          <w:color w:val="0F2A4A"/>
          <w:sz w:val="21"/>
          <w:szCs w:val="21"/>
        </w:rPr>
        <w:t xml:space="preserve">Dim_Customer — </w:t>
      </w:r>
      <w:r>
        <w:rPr>
          <w:rFonts w:ascii="Calibri" w:cs="Calibri" w:eastAsia="Calibri" w:hAnsi="Calibri"/>
          <w:color w:val="1A2333"/>
          <w:sz w:val="21"/>
          <w:szCs w:val="21"/>
        </w:rPr>
        <w:t xml:space="preserve">distinct Customer Id values with derived attributes (first-purchase date, order count), related on Customer Id.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rFonts w:ascii="Calibri" w:cs="Calibri" w:eastAsia="Calibri" w:hAnsi="Calibri"/>
          <w:b/>
          <w:bCs/>
          <w:color w:val="0F2A4A"/>
          <w:sz w:val="21"/>
          <w:szCs w:val="21"/>
        </w:rPr>
        <w:t xml:space="preserve">Dim_Geography — </w:t>
      </w:r>
      <w:r>
        <w:rPr>
          <w:rFonts w:ascii="Calibri" w:cs="Calibri" w:eastAsia="Calibri" w:hAnsi="Calibri"/>
          <w:color w:val="1A2333"/>
          <w:sz w:val="21"/>
          <w:szCs w:val="21"/>
        </w:rPr>
        <w:t xml:space="preserve">distinct City / State combinations, related on billing location, to power the state choropleth and city rankings.</w:t>
      </w:r>
    </w:p>
    <w:p>
      <w:pPr>
        <w:pBdr>
          <w:top w:val="single" w:color="FFF8E8" w:sz="4" w:space="6"/>
          <w:bottom w:val="single" w:color="FFF8E8" w:sz="4" w:space="6"/>
          <w:left w:val="single" w:color="E3A008" w:sz="24" w:space="8"/>
          <w:right w:val="single" w:color="FFF8E8" w:sz="4" w:space="6"/>
        </w:pBdr>
        <w:shd w:fill="FFF8E8" w:val="clear"/>
        <w:spacing w:after="220" w:before="140"/>
        <w:ind w:left="60" w:right="60"/>
      </w:pPr>
      <w:r>
        <w:rPr>
          <w:rFonts w:ascii="Calibri" w:cs="Calibri" w:eastAsia="Calibri" w:hAnsi="Calibri"/>
          <w:b/>
          <w:bCs/>
          <w:color w:val="B5790A"/>
          <w:sz w:val="19"/>
          <w:szCs w:val="19"/>
        </w:rPr>
        <w:t xml:space="preserve">INSIGHT — </w:t>
      </w:r>
      <w:r>
        <w:rPr>
          <w:rFonts w:ascii="Calibri" w:cs="Calibri" w:eastAsia="Calibri" w:hAnsi="Calibri"/>
          <w:color w:val="1A2333"/>
          <w:sz w:val="19"/>
          <w:szCs w:val="19"/>
        </w:rPr>
        <w:t xml:space="preserve">Marking Dim_Date as the official date table (with a contiguous, complete calendar) is what makes Power BI's built-in time-intelligence functions — TOTALMTD, DATEADD, SAMEPERIODLASTYEAR — return correct results, and lets Month-over-Month growth be computed reliably once the store accumulates more than one month of history.</w:t>
      </w:r>
    </w:p>
    <w:p>
      <w:r>
        <w:br w:type="page"/>
      </w:r>
    </w:p>
    <w:p>
      <w:pPr>
        <w:spacing w:after="120" w:before="60"/>
      </w:pPr>
      <w:r>
        <w:rPr>
          <w:rFonts w:ascii="Calibri" w:cs="Calibri" w:eastAsia="Calibri" w:hAnsi="Calibri"/>
          <w:b/>
          <w:bCs/>
          <w:color w:val="0E8388"/>
          <w:spacing w:val="20"/>
          <w:sz w:val="16"/>
          <w:szCs w:val="16"/>
        </w:rPr>
        <w:t xml:space="preserve">STAGE 2</w:t>
      </w:r>
    </w:p>
    <w:p>
      <w:pPr>
        <w:pStyle w:val="Heading1"/>
        <w:pBdr>
          <w:bottom w:val="single" w:color="0E8388" w:sz="10" w:space="6"/>
        </w:pBdr>
        <w:spacing w:after="180" w:before="420"/>
      </w:pPr>
      <w:r>
        <w:rPr>
          <w:rFonts w:ascii="Calibri" w:cs="Calibri" w:eastAsia="Calibri" w:hAnsi="Calibri"/>
          <w:b/>
          <w:bCs/>
          <w:color w:val="0F2A4A"/>
          <w:sz w:val="30"/>
          <w:szCs w:val="30"/>
        </w:rPr>
        <w:t xml:space="preserve">Transaction Performance Analysis</w:t>
      </w:r>
    </w:p>
    <w:p>
      <w:pPr>
        <w:pStyle w:val="Heading2"/>
        <w:spacing w:after="140" w:before="320"/>
      </w:pPr>
      <w:r>
        <w:rPr>
          <w:rFonts w:ascii="Calibri" w:cs="Calibri" w:eastAsia="Calibri" w:hAnsi="Calibri"/>
          <w:b/>
          <w:bCs/>
          <w:color w:val="0E8388"/>
          <w:sz w:val="24"/>
          <w:szCs w:val="24"/>
        </w:rPr>
        <w:t xml:space="preserve">Core KPI Measures</w:t>
      </w:r>
    </w:p>
    <w:p>
      <w:pPr>
        <w:spacing w:after="40" w:before="160"/>
      </w:pPr>
      <w:r>
        <w:rPr>
          <w:rFonts w:ascii="Calibri" w:cs="Calibri" w:eastAsia="Calibri" w:hAnsi="Calibri"/>
          <w:b/>
          <w:bCs/>
          <w:color w:val="0F2A4A"/>
          <w:sz w:val="20"/>
          <w:szCs w:val="20"/>
        </w:rPr>
        <w:t xml:space="preserve">Total Revenue</w:t>
      </w:r>
    </w:p>
    <w:p>
      <w:pPr>
        <w:pBdr>
          <w:top w:val="single" w:color="1B2338" w:sz="4" w:space="4"/>
          <w:bottom w:val="single" w:color="1B2338" w:sz="4" w:space="4"/>
          <w:left w:val="single" w:color="0E8388" w:sz="24" w:space="4"/>
          <w:right w:val="single" w:color="1B2338" w:sz="4" w:space="4"/>
        </w:pBdr>
        <w:shd w:fill="1B2338" w:val="clear"/>
        <w:spacing w:after="40"/>
        <w:ind w:left="120" w:right="120"/>
      </w:pPr>
      <w:r>
        <w:rPr>
          <w:rFonts w:ascii="Consolas" w:cs="Consolas" w:eastAsia="Consolas" w:hAnsi="Consolas"/>
          <w:color w:val="6FE3C4"/>
          <w:sz w:val="19"/>
          <w:szCs w:val="19"/>
        </w:rPr>
        <w:t xml:space="preserve">Total Revenue = SUM ( Fact_Orders[Total Price Usd] )</w:t>
      </w:r>
    </w:p>
    <w:p>
      <w:pPr>
        <w:spacing w:after="180" w:line="280"/>
      </w:pPr>
      <w:r>
        <w:rPr>
          <w:rFonts w:ascii="Calibri" w:cs="Calibri" w:eastAsia="Calibri" w:hAnsi="Calibri"/>
          <w:i/>
          <w:iCs/>
          <w:color w:val="5B6478"/>
          <w:sz w:val="19"/>
          <w:szCs w:val="19"/>
        </w:rPr>
        <w:t xml:space="preserve">Sums the post-tax order value across whatever the current filter context is (date range, product, state, etc.).</w:t>
      </w:r>
    </w:p>
    <w:p>
      <w:pPr>
        <w:spacing w:after="40" w:before="160"/>
      </w:pPr>
      <w:r>
        <w:rPr>
          <w:rFonts w:ascii="Calibri" w:cs="Calibri" w:eastAsia="Calibri" w:hAnsi="Calibri"/>
          <w:b/>
          <w:bCs/>
          <w:color w:val="0F2A4A"/>
          <w:sz w:val="20"/>
          <w:szCs w:val="20"/>
        </w:rPr>
        <w:t xml:space="preserve">Total Orders</w:t>
      </w:r>
    </w:p>
    <w:p>
      <w:pPr>
        <w:pBdr>
          <w:top w:val="single" w:color="1B2338" w:sz="4" w:space="4"/>
          <w:bottom w:val="single" w:color="1B2338" w:sz="4" w:space="4"/>
          <w:left w:val="single" w:color="0E8388" w:sz="24" w:space="4"/>
          <w:right w:val="single" w:color="1B2338" w:sz="4" w:space="4"/>
        </w:pBdr>
        <w:shd w:fill="1B2338" w:val="clear"/>
        <w:spacing w:after="40"/>
        <w:ind w:left="120" w:right="120"/>
      </w:pPr>
      <w:r>
        <w:rPr>
          <w:rFonts w:ascii="Consolas" w:cs="Consolas" w:eastAsia="Consolas" w:hAnsi="Consolas"/>
          <w:color w:val="6FE3C4"/>
          <w:sz w:val="19"/>
          <w:szCs w:val="19"/>
        </w:rPr>
        <w:t xml:space="preserve">Total Orders = DISTINCTCOUNT ( Fact_Orders[Order Number] )</w:t>
      </w:r>
    </w:p>
    <w:p>
      <w:pPr>
        <w:spacing w:after="180" w:line="280"/>
      </w:pPr>
      <w:r>
        <w:rPr>
          <w:rFonts w:ascii="Calibri" w:cs="Calibri" w:eastAsia="Calibri" w:hAnsi="Calibri"/>
          <w:i/>
          <w:iCs/>
          <w:color w:val="5B6478"/>
          <w:sz w:val="19"/>
          <w:szCs w:val="19"/>
        </w:rPr>
        <w:t xml:space="preserve">Counts unique orders rather than rows, so it stays accurate even if the grain ever changes to line-items.</w:t>
      </w:r>
    </w:p>
    <w:p>
      <w:pPr>
        <w:spacing w:after="40" w:before="160"/>
      </w:pPr>
      <w:r>
        <w:rPr>
          <w:rFonts w:ascii="Calibri" w:cs="Calibri" w:eastAsia="Calibri" w:hAnsi="Calibri"/>
          <w:b/>
          <w:bCs/>
          <w:color w:val="0F2A4A"/>
          <w:sz w:val="20"/>
          <w:szCs w:val="20"/>
        </w:rPr>
        <w:t xml:space="preserve">Average Order Value (AOV)</w:t>
      </w:r>
    </w:p>
    <w:p>
      <w:pPr>
        <w:pBdr>
          <w:top w:val="single" w:color="1B2338" w:sz="4" w:space="4"/>
          <w:bottom w:val="single" w:color="1B2338" w:sz="4" w:space="4"/>
          <w:left w:val="single" w:color="0E8388" w:sz="24" w:space="4"/>
          <w:right w:val="single" w:color="1B2338" w:sz="4" w:space="4"/>
        </w:pBdr>
        <w:shd w:fill="1B2338" w:val="clear"/>
        <w:spacing w:after="40"/>
        <w:ind w:left="120" w:right="120"/>
      </w:pPr>
      <w:r>
        <w:rPr>
          <w:rFonts w:ascii="Consolas" w:cs="Consolas" w:eastAsia="Consolas" w:hAnsi="Consolas"/>
          <w:color w:val="6FE3C4"/>
          <w:sz w:val="19"/>
          <w:szCs w:val="19"/>
        </w:rPr>
        <w:t xml:space="preserve">AOV = DIVIDE ( [Total Revenue], [Total Orders], 0 )</w:t>
      </w:r>
    </w:p>
    <w:p>
      <w:pPr>
        <w:spacing w:after="180" w:line="280"/>
      </w:pPr>
      <w:r>
        <w:rPr>
          <w:rFonts w:ascii="Calibri" w:cs="Calibri" w:eastAsia="Calibri" w:hAnsi="Calibri"/>
          <w:i/>
          <w:iCs/>
          <w:color w:val="5B6478"/>
          <w:sz w:val="19"/>
          <w:szCs w:val="19"/>
        </w:rPr>
        <w:t xml:space="preserve">Revenue per order; DIVIDE guards against a divide-by-zero error when a filter returns no orders.</w:t>
      </w:r>
    </w:p>
    <w:p>
      <w:pPr>
        <w:spacing w:after="40" w:before="160"/>
      </w:pPr>
      <w:r>
        <w:rPr>
          <w:rFonts w:ascii="Calibri" w:cs="Calibri" w:eastAsia="Calibri" w:hAnsi="Calibri"/>
          <w:b/>
          <w:bCs/>
          <w:color w:val="0F2A4A"/>
          <w:sz w:val="20"/>
          <w:szCs w:val="20"/>
        </w:rPr>
        <w:t xml:space="preserve">Revenue Growth vs. Prior Period</w:t>
      </w:r>
    </w:p>
    <w:p>
      <w:pPr>
        <w:pBdr>
          <w:top w:val="single" w:color="1B2338" w:sz="4" w:space="4"/>
          <w:bottom w:val="single" w:color="1B2338" w:sz="4" w:space="4"/>
          <w:left w:val="single" w:color="0E8388" w:sz="24" w:space="4"/>
          <w:right w:val="single" w:color="1B2338" w:sz="4" w:space="4"/>
        </w:pBdr>
        <w:shd w:fill="1B2338" w:val="clear"/>
        <w:spacing w:after="40"/>
        <w:ind w:left="120" w:right="120"/>
      </w:pPr>
      <w:r>
        <w:rPr>
          <w:rFonts w:ascii="Consolas" w:cs="Consolas" w:eastAsia="Consolas" w:hAnsi="Consolas"/>
          <w:color w:val="6FE3C4"/>
          <w:sz w:val="19"/>
          <w:szCs w:val="19"/>
        </w:rPr>
        <w:t xml:space="preserve">Revenue Growth % =</w:t>
      </w:r>
      <w:r>
        <w:rPr>
          <w:rFonts w:ascii="Consolas" w:cs="Consolas" w:eastAsia="Consolas" w:hAnsi="Consolas"/>
          <w:color w:val="6FE3C4"/>
          <w:sz w:val="19"/>
          <w:szCs w:val="19"/>
        </w:rPr>
        <w:br/>
        <w:t xml:space="preserve">  VAR PrevRevenue = CALCULATE ( [Total Revenue], DATEADD ( Dim_Date[Date], -1, MONTH ) )</w:t>
      </w:r>
      <w:r>
        <w:rPr>
          <w:rFonts w:ascii="Consolas" w:cs="Consolas" w:eastAsia="Consolas" w:hAnsi="Consolas"/>
          <w:color w:val="6FE3C4"/>
          <w:sz w:val="19"/>
          <w:szCs w:val="19"/>
        </w:rPr>
        <w:br/>
        <w:t xml:space="preserve">  RETURN DIVIDE ( [Total Revenue] - PrevRevenue, PrevRevenue )</w:t>
      </w:r>
    </w:p>
    <w:p>
      <w:pPr>
        <w:spacing w:after="180" w:line="280"/>
      </w:pPr>
      <w:r>
        <w:rPr>
          <w:rFonts w:ascii="Calibri" w:cs="Calibri" w:eastAsia="Calibri" w:hAnsi="Calibri"/>
          <w:i/>
          <w:iCs/>
          <w:color w:val="5B6478"/>
          <w:sz w:val="19"/>
          <w:szCs w:val="19"/>
        </w:rPr>
        <w:t xml:space="preserve">Compares revenue to the prior month using DATEADD against Dim_Date; with the current 7-day export this returns blank, but the measure is ready to populate automatically as more months of data land.</w:t>
      </w:r>
    </w:p>
    <w:p>
      <w:pPr>
        <w:pStyle w:val="Heading2"/>
        <w:spacing w:after="140" w:before="320"/>
      </w:pPr>
      <w:r>
        <w:rPr>
          <w:rFonts w:ascii="Calibri" w:cs="Calibri" w:eastAsia="Calibri" w:hAnsi="Calibri"/>
          <w:b/>
          <w:bCs/>
          <w:color w:val="0E8388"/>
          <w:sz w:val="24"/>
          <w:szCs w:val="24"/>
        </w:rPr>
        <w:t xml:space="preserve">Revenue Trend</w:t>
      </w:r>
    </w:p>
    <w:p>
      <w:pPr>
        <w:spacing w:after="0" w:before="120"/>
        <w:jc w:val="center"/>
      </w:pPr>
      <w:r>
        <w:drawing>
          <wp:inline distT="0" distB="0" distL="0" distR="0">
            <wp:extent cx="5334000" cy="21336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60" w:before="90"/>
        <w:jc w:val="center"/>
      </w:pPr>
      <w:r>
        <w:rPr>
          <w:rFonts w:ascii="Calibri" w:cs="Calibri" w:eastAsia="Calibri" w:hAnsi="Calibri"/>
          <w:i/>
          <w:iCs/>
          <w:color w:val="5B6478"/>
          <w:sz w:val="18"/>
          <w:szCs w:val="18"/>
        </w:rPr>
        <w:t xml:space="preserve">Figure 1 — Daily revenue across the reporting window (18–24 Mar 2025).</w:t>
      </w:r>
    </w:p>
    <w:p>
      <w:pPr>
        <w:spacing w:after="160" w:line="300"/>
      </w:pPr>
      <w:r>
        <w:rPr>
          <w:rFonts w:ascii="Calibri" w:cs="Calibri" w:eastAsia="Calibri" w:hAnsi="Calibri"/>
          <w:color w:val="1A2333"/>
          <w:sz w:val="21"/>
          <w:szCs w:val="21"/>
        </w:rPr>
        <w:t xml:space="preserve">Revenue climbs steadily through the week, from $578K on Tuesday the 18th to a peak of $752K on Monday the 24th — a 30% swing between the lowest and highest day. There is no single-day collapse or spike, suggesting organic, healthy demand rather than a one-off promotion.</w:t>
      </w:r>
    </w:p>
    <w:p>
      <w:pPr>
        <w:pBdr>
          <w:top w:val="single" w:color="FFF8E8" w:sz="4" w:space="6"/>
          <w:bottom w:val="single" w:color="FFF8E8" w:sz="4" w:space="6"/>
          <w:left w:val="single" w:color="E3A008" w:sz="24" w:space="8"/>
          <w:right w:val="single" w:color="FFF8E8" w:sz="4" w:space="6"/>
        </w:pBdr>
        <w:shd w:fill="FFF8E8" w:val="clear"/>
        <w:spacing w:after="220" w:before="140"/>
        <w:ind w:left="60" w:right="60"/>
      </w:pPr>
      <w:r>
        <w:rPr>
          <w:rFonts w:ascii="Calibri" w:cs="Calibri" w:eastAsia="Calibri" w:hAnsi="Calibri"/>
          <w:b/>
          <w:bCs/>
          <w:color w:val="B5790A"/>
          <w:sz w:val="19"/>
          <w:szCs w:val="19"/>
        </w:rPr>
        <w:t xml:space="preserve">INSIGHT — </w:t>
      </w:r>
      <w:r>
        <w:rPr>
          <w:rFonts w:ascii="Calibri" w:cs="Calibri" w:eastAsia="Calibri" w:hAnsi="Calibri"/>
          <w:color w:val="1A2333"/>
          <w:sz w:val="19"/>
          <w:szCs w:val="19"/>
        </w:rPr>
        <w:t xml:space="preserve">Monday outperforms every other day in the window. This is unusual for many retailers and worth validating against a longer history — if it holds, Monday is the best day to launch new drops or time-limited offers.</w:t>
      </w:r>
    </w:p>
    <w:p>
      <w:pPr>
        <w:pStyle w:val="Heading2"/>
        <w:spacing w:after="140" w:before="320"/>
      </w:pPr>
      <w:r>
        <w:rPr>
          <w:rFonts w:ascii="Calibri" w:cs="Calibri" w:eastAsia="Calibri" w:hAnsi="Calibri"/>
          <w:b/>
          <w:bCs/>
          <w:color w:val="0E8388"/>
          <w:sz w:val="24"/>
          <w:szCs w:val="24"/>
        </w:rPr>
        <w:t xml:space="preserve">Revenue by Product</w:t>
      </w:r>
    </w:p>
    <w:p>
      <w:pPr>
        <w:spacing w:after="0" w:before="120"/>
        <w:jc w:val="center"/>
      </w:pPr>
      <w:r>
        <w:drawing>
          <wp:inline distT="0" distB="0" distL="0" distR="0">
            <wp:extent cx="5334000" cy="25241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2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60" w:before="90"/>
        <w:jc w:val="center"/>
      </w:pPr>
      <w:r>
        <w:rPr>
          <w:rFonts w:ascii="Calibri" w:cs="Calibri" w:eastAsia="Calibri" w:hAnsi="Calibri"/>
          <w:i/>
          <w:iCs/>
          <w:color w:val="5B6478"/>
          <w:sz w:val="18"/>
          <w:szCs w:val="18"/>
        </w:rPr>
        <w:t xml:space="preserve">Figure 2 — Revenue by product type, ranked highest to lowest.</w:t>
      </w:r>
    </w:p>
    <w:p>
      <w:pPr>
        <w:spacing w:after="160" w:line="300"/>
      </w:pPr>
      <w:r>
        <w:rPr>
          <w:rFonts w:ascii="Calibri" w:cs="Calibri" w:eastAsia="Calibri" w:hAnsi="Calibri"/>
          <w:color w:val="1A2333"/>
          <w:sz w:val="21"/>
          <w:szCs w:val="21"/>
        </w:rPr>
        <w:t xml:space="preserve">Running Shoes is the clear category leader at $1.62M (35.2% of revenue), followed by Tennis Shoes at $972K (21.1%) and Walking Shoes at $688K (15.0%). Together, the top three footwear categories generate 71.3% of all revenue. At the other end, Accessories, Clogs, Boy's and Water Shoes each contribute under 0.3% of revenue and collectively represent under 1% of sales.</w:t>
      </w:r>
    </w:p>
    <w:p>
      <w:pPr>
        <w:pBdr>
          <w:top w:val="single" w:color="FFF8E8" w:sz="4" w:space="6"/>
          <w:bottom w:val="single" w:color="FFF8E8" w:sz="4" w:space="6"/>
          <w:left w:val="single" w:color="E3A008" w:sz="24" w:space="8"/>
          <w:right w:val="single" w:color="FFF8E8" w:sz="4" w:space="6"/>
        </w:pBdr>
        <w:shd w:fill="FFF8E8" w:val="clear"/>
        <w:spacing w:after="220" w:before="140"/>
        <w:ind w:left="60" w:right="60"/>
      </w:pPr>
      <w:r>
        <w:rPr>
          <w:rFonts w:ascii="Calibri" w:cs="Calibri" w:eastAsia="Calibri" w:hAnsi="Calibri"/>
          <w:b/>
          <w:bCs/>
          <w:color w:val="B5790A"/>
          <w:sz w:val="19"/>
          <w:szCs w:val="19"/>
        </w:rPr>
        <w:t xml:space="preserve">INSIGHT — </w:t>
      </w:r>
      <w:r>
        <w:rPr>
          <w:rFonts w:ascii="Calibri" w:cs="Calibri" w:eastAsia="Calibri" w:hAnsi="Calibri"/>
          <w:color w:val="1A2333"/>
          <w:sz w:val="19"/>
          <w:szCs w:val="19"/>
        </w:rPr>
        <w:t xml:space="preserve">Water Shoes, Clogs, Boy's, and Accessories combined generated just $30,112 — 0.65% of total revenue — across the window. These are strong candidates for a merchandising review: either better placement/marketing, or reduced inventory investment in favour of core footwear lines.</w:t>
      </w:r>
    </w:p>
    <w:p>
      <w:pPr>
        <w:pStyle w:val="Heading2"/>
        <w:spacing w:after="140" w:before="320"/>
      </w:pPr>
      <w:r>
        <w:rPr>
          <w:rFonts w:ascii="Calibri" w:cs="Calibri" w:eastAsia="Calibri" w:hAnsi="Calibri"/>
          <w:b/>
          <w:bCs/>
          <w:color w:val="0E8388"/>
          <w:sz w:val="24"/>
          <w:szCs w:val="24"/>
        </w:rPr>
        <w:t xml:space="preserve">When Customers Buy</w:t>
      </w:r>
    </w:p>
    <w:p>
      <w:pPr>
        <w:spacing w:after="0" w:before="120"/>
        <w:jc w:val="center"/>
      </w:pPr>
      <w:r>
        <w:drawing>
          <wp:inline distT="0" distB="0" distL="0" distR="0">
            <wp:extent cx="5334000" cy="21336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60" w:before="90"/>
        <w:jc w:val="center"/>
      </w:pPr>
      <w:r>
        <w:rPr>
          <w:rFonts w:ascii="Calibri" w:cs="Calibri" w:eastAsia="Calibri" w:hAnsi="Calibri"/>
          <w:i/>
          <w:iCs/>
          <w:color w:val="5B6478"/>
          <w:sz w:val="18"/>
          <w:szCs w:val="18"/>
        </w:rPr>
        <w:t xml:space="preserve">Figure 3 — Orders placed by day of week.</w:t>
      </w:r>
    </w:p>
    <w:p>
      <w:pPr>
        <w:spacing w:after="160" w:line="300"/>
      </w:pPr>
      <w:r>
        <w:rPr>
          <w:rFonts w:ascii="Calibri" w:cs="Calibri" w:eastAsia="Calibri" w:hAnsi="Calibri"/>
          <w:color w:val="1A2333"/>
          <w:sz w:val="21"/>
          <w:szCs w:val="21"/>
        </w:rPr>
        <w:t xml:space="preserve">Monday (1,204 orders) and Saturday (1,147 orders) are the two busiest days; Tuesday and Sunday are the quietest, tied at 945 orders. The gap between busiest and quietest day is roughly 27%.</w:t>
      </w:r>
    </w:p>
    <w:p>
      <w:pPr>
        <w:spacing w:after="0" w:before="120"/>
        <w:jc w:val="center"/>
      </w:pPr>
      <w:r>
        <w:drawing>
          <wp:inline distT="0" distB="0" distL="0" distR="0">
            <wp:extent cx="5334000" cy="21336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60" w:before="90"/>
        <w:jc w:val="center"/>
      </w:pPr>
      <w:r>
        <w:rPr>
          <w:rFonts w:ascii="Calibri" w:cs="Calibri" w:eastAsia="Calibri" w:hAnsi="Calibri"/>
          <w:i/>
          <w:iCs/>
          <w:color w:val="5B6478"/>
          <w:sz w:val="18"/>
          <w:szCs w:val="18"/>
        </w:rPr>
        <w:t xml:space="preserve">Figure 4 — Orders placed by hour of day (24-hour clock).</w:t>
      </w:r>
    </w:p>
    <w:p>
      <w:pPr>
        <w:spacing w:after="160" w:line="300"/>
      </w:pPr>
      <w:r>
        <w:rPr>
          <w:rFonts w:ascii="Calibri" w:cs="Calibri" w:eastAsia="Calibri" w:hAnsi="Calibri"/>
          <w:color w:val="1A2333"/>
          <w:sz w:val="21"/>
          <w:szCs w:val="21"/>
        </w:rPr>
        <w:t xml:space="preserve">Ordering activity is heavily concentrated in the late morning and afternoon: the 10 AM–4 PM window accounts for the large majority of daily orders, peaking at 11 AM (568 orders, $349K in revenue).</w:t>
      </w:r>
    </w:p>
    <w:p>
      <w:pPr>
        <w:pBdr>
          <w:top w:val="single" w:color="FFF8E8" w:sz="4" w:space="6"/>
          <w:bottom w:val="single" w:color="FFF8E8" w:sz="4" w:space="6"/>
          <w:left w:val="single" w:color="E3A008" w:sz="24" w:space="8"/>
          <w:right w:val="single" w:color="FFF8E8" w:sz="4" w:space="6"/>
        </w:pBdr>
        <w:shd w:fill="FFF8E8" w:val="clear"/>
        <w:spacing w:after="220" w:before="140"/>
        <w:ind w:left="60" w:right="60"/>
      </w:pPr>
      <w:r>
        <w:rPr>
          <w:rFonts w:ascii="Calibri" w:cs="Calibri" w:eastAsia="Calibri" w:hAnsi="Calibri"/>
          <w:b/>
          <w:bCs/>
          <w:color w:val="B5790A"/>
          <w:sz w:val="19"/>
          <w:szCs w:val="19"/>
        </w:rPr>
        <w:t xml:space="preserve">INSIGHT — </w:t>
      </w:r>
      <w:r>
        <w:rPr>
          <w:rFonts w:ascii="Calibri" w:cs="Calibri" w:eastAsia="Calibri" w:hAnsi="Calibri"/>
          <w:color w:val="1A2333"/>
          <w:sz w:val="19"/>
          <w:szCs w:val="19"/>
        </w:rPr>
        <w:t xml:space="preserve">Email and paid-social campaigns timed to land shortly before 10 AM, with a Monday/Saturday cadence, align with when customers are already most likely to purchase — a low-cost way to lift conversion without changing the offer.</w:t>
      </w:r>
    </w:p>
    <w:p>
      <w:r>
        <w:br w:type="page"/>
      </w:r>
    </w:p>
    <w:p>
      <w:pPr>
        <w:spacing w:after="120" w:before="60"/>
      </w:pPr>
      <w:r>
        <w:rPr>
          <w:rFonts w:ascii="Calibri" w:cs="Calibri" w:eastAsia="Calibri" w:hAnsi="Calibri"/>
          <w:b/>
          <w:bCs/>
          <w:color w:val="0E8388"/>
          <w:spacing w:val="20"/>
          <w:sz w:val="16"/>
          <w:szCs w:val="16"/>
        </w:rPr>
        <w:t xml:space="preserve">STAGE 3</w:t>
      </w:r>
    </w:p>
    <w:p>
      <w:pPr>
        <w:pStyle w:val="Heading1"/>
        <w:pBdr>
          <w:bottom w:val="single" w:color="0E8388" w:sz="10" w:space="6"/>
        </w:pBdr>
        <w:spacing w:after="180" w:before="420"/>
      </w:pPr>
      <w:r>
        <w:rPr>
          <w:rFonts w:ascii="Calibri" w:cs="Calibri" w:eastAsia="Calibri" w:hAnsi="Calibri"/>
          <w:b/>
          <w:bCs/>
          <w:color w:val="0F2A4A"/>
          <w:sz w:val="30"/>
          <w:szCs w:val="30"/>
        </w:rPr>
        <w:t xml:space="preserve">Customer Purchasing Behaviour</w:t>
      </w:r>
    </w:p>
    <w:p>
      <w:pPr>
        <w:pStyle w:val="Heading2"/>
        <w:spacing w:after="140" w:before="320"/>
      </w:pPr>
      <w:r>
        <w:rPr>
          <w:rFonts w:ascii="Calibri" w:cs="Calibri" w:eastAsia="Calibri" w:hAnsi="Calibri"/>
          <w:b/>
          <w:bCs/>
          <w:color w:val="0E8388"/>
          <w:sz w:val="24"/>
          <w:szCs w:val="24"/>
        </w:rPr>
        <w:t xml:space="preserve">New vs. Returning Customers</w:t>
      </w:r>
    </w:p>
    <w:p>
      <w:pPr>
        <w:spacing w:after="160" w:line="300"/>
      </w:pPr>
      <w:r>
        <w:rPr>
          <w:rFonts w:ascii="Calibri" w:cs="Calibri" w:eastAsia="Calibri" w:hAnsi="Calibri"/>
          <w:color w:val="1A2333"/>
          <w:sz w:val="21"/>
          <w:szCs w:val="21"/>
        </w:rPr>
        <w:t xml:space="preserve">Of 4,431 unique customers, 2,039 (46.0%) placed more than one order in the window, and 2,392 (54.0%) purchased exactly once.</w:t>
      </w:r>
    </w:p>
    <w:p>
      <w:pPr>
        <w:spacing w:after="0" w:before="120"/>
        <w:jc w:val="center"/>
      </w:pPr>
      <w:r>
        <w:drawing>
          <wp:inline distT="0" distB="0" distL="0" distR="0">
            <wp:extent cx="5334000" cy="23622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6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60" w:before="90"/>
        <w:jc w:val="center"/>
      </w:pPr>
      <w:r>
        <w:rPr>
          <w:rFonts w:ascii="Calibri" w:cs="Calibri" w:eastAsia="Calibri" w:hAnsi="Calibri"/>
          <w:i/>
          <w:iCs/>
          <w:color w:val="5B6478"/>
          <w:sz w:val="18"/>
          <w:szCs w:val="18"/>
        </w:rPr>
        <w:t xml:space="preserve">Figure 5 — Repeat customers are a minority of the customer base but the majority of revenue.</w:t>
      </w:r>
    </w:p>
    <w:p>
      <w:pPr>
        <w:pBdr>
          <w:top w:val="single" w:color="FFF8E8" w:sz="4" w:space="6"/>
          <w:bottom w:val="single" w:color="FFF8E8" w:sz="4" w:space="6"/>
          <w:left w:val="single" w:color="E3A008" w:sz="24" w:space="8"/>
          <w:right w:val="single" w:color="FFF8E8" w:sz="4" w:space="6"/>
        </w:pBdr>
        <w:shd w:fill="FFF8E8" w:val="clear"/>
        <w:spacing w:after="220" w:before="140"/>
        <w:ind w:left="60" w:right="60"/>
      </w:pPr>
      <w:r>
        <w:rPr>
          <w:rFonts w:ascii="Calibri" w:cs="Calibri" w:eastAsia="Calibri" w:hAnsi="Calibri"/>
          <w:b/>
          <w:bCs/>
          <w:color w:val="B5790A"/>
          <w:sz w:val="19"/>
          <w:szCs w:val="19"/>
        </w:rPr>
        <w:t xml:space="preserve">INSIGHT — </w:t>
      </w:r>
      <w:r>
        <w:rPr>
          <w:rFonts w:ascii="Calibri" w:cs="Calibri" w:eastAsia="Calibri" w:hAnsi="Calibri"/>
          <w:color w:val="1A2333"/>
          <w:sz w:val="19"/>
          <w:szCs w:val="19"/>
        </w:rPr>
        <w:t xml:space="preserve">Repeat customers are 46% of the customer base but generate 67.8% of revenue ($3.12M vs. $1.48M) — meaning the average repeat customer is worth roughly 2.5× an average one-time buyer. Every incremental percentage-point gain in repeat rate has an outsized effect on total revenue.</w:t>
      </w:r>
    </w:p>
    <w:p>
      <w:pPr>
        <w:pStyle w:val="Heading2"/>
        <w:spacing w:after="140" w:before="320"/>
      </w:pPr>
      <w:r>
        <w:rPr>
          <w:rFonts w:ascii="Calibri" w:cs="Calibri" w:eastAsia="Calibri" w:hAnsi="Calibri"/>
          <w:b/>
          <w:bCs/>
          <w:color w:val="0E8388"/>
          <w:sz w:val="24"/>
          <w:szCs w:val="24"/>
        </w:rPr>
        <w:t xml:space="preserve">Order Frequency</w:t>
      </w:r>
    </w:p>
    <w:p>
      <w:pPr>
        <w:spacing w:after="0" w:before="120"/>
        <w:jc w:val="center"/>
      </w:pPr>
      <w:r>
        <w:drawing>
          <wp:inline distT="0" distB="0" distL="0" distR="0">
            <wp:extent cx="5334000" cy="21336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60" w:before="90"/>
        <w:jc w:val="center"/>
      </w:pPr>
      <w:r>
        <w:rPr>
          <w:rFonts w:ascii="Calibri" w:cs="Calibri" w:eastAsia="Calibri" w:hAnsi="Calibri"/>
          <w:i/>
          <w:iCs/>
          <w:color w:val="5B6478"/>
          <w:sz w:val="18"/>
          <w:szCs w:val="18"/>
        </w:rPr>
        <w:t xml:space="preserve">Figure 6 — Distribution of orders placed per customer.</w:t>
      </w:r>
    </w:p>
    <w:p>
      <w:pPr>
        <w:spacing w:after="160" w:line="300"/>
      </w:pPr>
      <w:r>
        <w:rPr>
          <w:rFonts w:ascii="Calibri" w:cs="Calibri" w:eastAsia="Calibri" w:hAnsi="Calibri"/>
          <w:color w:val="1A2333"/>
          <w:sz w:val="21"/>
          <w:szCs w:val="21"/>
        </w:rPr>
        <w:t xml:space="preserve">Order frequency follows an expected long-tail pattern: 2,392 customers ordered once, 1,322 ordered twice, 520 ordered three times, and a small group of 36 highly engaged customers placed five or more orders inside the seven-day window. Average purchase frequency across all customers is 1.68 orders.</w:t>
      </w:r>
    </w:p>
    <w:p>
      <w:pPr>
        <w:pStyle w:val="Heading2"/>
        <w:spacing w:after="140" w:before="320"/>
      </w:pPr>
      <w:r>
        <w:rPr>
          <w:rFonts w:ascii="Calibri" w:cs="Calibri" w:eastAsia="Calibri" w:hAnsi="Calibri"/>
          <w:b/>
          <w:bCs/>
          <w:color w:val="0E8388"/>
          <w:sz w:val="24"/>
          <w:szCs w:val="24"/>
        </w:rPr>
        <w:t xml:space="preserve">Revenue Concentration &amp; Top Customers</w:t>
      </w:r>
    </w:p>
    <w:p>
      <w:pPr>
        <w:spacing w:after="0" w:before="120"/>
        <w:jc w:val="center"/>
      </w:pPr>
      <w:r>
        <w:drawing>
          <wp:inline distT="0" distB="0" distL="0" distR="0">
            <wp:extent cx="5334000" cy="23622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6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60" w:before="90"/>
        <w:jc w:val="center"/>
      </w:pPr>
      <w:r>
        <w:rPr>
          <w:rFonts w:ascii="Calibri" w:cs="Calibri" w:eastAsia="Calibri" w:hAnsi="Calibri"/>
          <w:i/>
          <w:iCs/>
          <w:color w:val="5B6478"/>
          <w:sz w:val="18"/>
          <w:szCs w:val="18"/>
        </w:rPr>
        <w:t xml:space="preserve">Figure 7 — Share of total revenue by customer spend tier.</w:t>
      </w:r>
    </w:p>
    <w:p>
      <w:pPr>
        <w:spacing w:after="160" w:line="300"/>
      </w:pPr>
      <w:r>
        <w:rPr>
          <w:rFonts w:ascii="Calibri" w:cs="Calibri" w:eastAsia="Calibri" w:hAnsi="Calibri"/>
          <w:color w:val="1A2333"/>
          <w:sz w:val="21"/>
          <w:szCs w:val="21"/>
        </w:rPr>
        <w:t xml:space="preserve">The top 10% of customers (by spend) generate 21.9% of total revenue, and the top 20% generate 37.8% — a moderate, not extreme, concentration. This is healthier than a classic 80/20 pattern: revenue is not dangerously dependent on a tiny handful of accounts, though the highest-value customers still merit dedicated attention.</w:t>
      </w:r>
    </w:p>
    <w:p>
      <w:pPr>
        <w:spacing w:after="100" w:before="220"/>
      </w:pPr>
      <w:r>
        <w:rPr>
          <w:rFonts w:ascii="Calibri" w:cs="Calibri" w:eastAsia="Calibri" w:hAnsi="Calibri"/>
          <w:b/>
          <w:bCs/>
          <w:color w:val="0F2A4A"/>
          <w:sz w:val="21"/>
          <w:szCs w:val="21"/>
        </w:rPr>
        <w:t xml:space="preserve">Top 10 Customers by Total Spend</w:t>
      </w:r>
    </w:p>
    <w:tbl>
      <w:tblPr>
        <w:tblW w:type="dxa" w:w="9350"/>
        <w:tblBorders>
          <w:top w:val="single" w:color="D9E0EA" w:sz="4"/>
          <w:left w:val="single" w:color="D9E0EA" w:sz="4"/>
          <w:bottom w:val="single" w:color="D9E0EA" w:sz="4"/>
          <w:right w:val="single" w:color="D9E0EA" w:sz="4"/>
          <w:insideH w:val="single" w:color="D9E0EA" w:sz="4"/>
          <w:insideV w:val="single" w:color="D9E0EA" w:sz="4"/>
        </w:tblBorders>
      </w:tblPr>
      <w:tblGrid>
        <w:gridCol w:w="3117"/>
        <w:gridCol w:w="3117"/>
        <w:gridCol w:w="3116"/>
      </w:tblGrid>
      <w:tr>
        <w:trPr>
          <w:tblHeader/>
        </w:trPr>
        <w:tc>
          <w:tcPr>
            <w:tcW w:type="dxa" w:w="3117"/>
            <w:shd w:fill="0F2A4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Customer ID</w:t>
            </w:r>
          </w:p>
        </w:tc>
        <w:tc>
          <w:tcPr>
            <w:tcW w:type="dxa" w:w="3117"/>
            <w:shd w:fill="0F2A4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Orders Placed</w:t>
            </w:r>
          </w:p>
        </w:tc>
        <w:tc>
          <w:tcPr>
            <w:tcW w:type="dxa" w:w="3116"/>
            <w:shd w:fill="0F2A4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Total Spend</w:t>
            </w:r>
          </w:p>
        </w:tc>
      </w:tr>
      <w:tr>
        <w:tc>
          <w:tcPr>
            <w:tcW w:type="dxa" w:w="3117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color w:val="1A2333"/>
                <w:sz w:val="18"/>
                <w:szCs w:val="18"/>
              </w:rPr>
              <w:t xml:space="preserve">1556</w:t>
            </w:r>
          </w:p>
        </w:tc>
        <w:tc>
          <w:tcPr>
            <w:tcW w:type="dxa" w:w="3117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color w:val="1A2333"/>
                <w:sz w:val="18"/>
                <w:szCs w:val="18"/>
              </w:rPr>
              <w:t xml:space="preserve">2</w:t>
            </w:r>
          </w:p>
        </w:tc>
        <w:tc>
          <w:tcPr>
            <w:tcW w:type="dxa" w:w="3116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color w:val="1A2333"/>
                <w:sz w:val="18"/>
                <w:szCs w:val="18"/>
              </w:rPr>
              <w:t xml:space="preserve">$7,627.69</w:t>
            </w:r>
          </w:p>
        </w:tc>
      </w:tr>
      <w:tr>
        <w:tc>
          <w:tcPr>
            <w:tcW w:type="dxa" w:w="3117"/>
            <w:shd w:fill="F2F5F8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color w:val="1A2333"/>
                <w:sz w:val="18"/>
                <w:szCs w:val="18"/>
              </w:rPr>
              <w:t xml:space="preserve">6056</w:t>
            </w:r>
          </w:p>
        </w:tc>
        <w:tc>
          <w:tcPr>
            <w:tcW w:type="dxa" w:w="3117"/>
            <w:shd w:fill="F2F5F8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color w:val="1A2333"/>
                <w:sz w:val="18"/>
                <w:szCs w:val="18"/>
              </w:rPr>
              <w:t xml:space="preserve">7</w:t>
            </w:r>
          </w:p>
        </w:tc>
        <w:tc>
          <w:tcPr>
            <w:tcW w:type="dxa" w:w="3116"/>
            <w:shd w:fill="F2F5F8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color w:val="1A2333"/>
                <w:sz w:val="18"/>
                <w:szCs w:val="18"/>
              </w:rPr>
              <w:t xml:space="preserve">$4,272.08</w:t>
            </w:r>
          </w:p>
        </w:tc>
      </w:tr>
      <w:tr>
        <w:tc>
          <w:tcPr>
            <w:tcW w:type="dxa" w:w="3117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color w:val="1A2333"/>
                <w:sz w:val="18"/>
                <w:szCs w:val="18"/>
              </w:rPr>
              <w:t xml:space="preserve">5784</w:t>
            </w:r>
          </w:p>
        </w:tc>
        <w:tc>
          <w:tcPr>
            <w:tcW w:type="dxa" w:w="3117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color w:val="1A2333"/>
                <w:sz w:val="18"/>
                <w:szCs w:val="18"/>
              </w:rPr>
              <w:t xml:space="preserve">7</w:t>
            </w:r>
          </w:p>
        </w:tc>
        <w:tc>
          <w:tcPr>
            <w:tcW w:type="dxa" w:w="3116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color w:val="1A2333"/>
                <w:sz w:val="18"/>
                <w:szCs w:val="18"/>
              </w:rPr>
              <w:t xml:space="preserve">$4,060.22</w:t>
            </w:r>
          </w:p>
        </w:tc>
      </w:tr>
      <w:tr>
        <w:tc>
          <w:tcPr>
            <w:tcW w:type="dxa" w:w="3117"/>
            <w:shd w:fill="F2F5F8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color w:val="1A2333"/>
                <w:sz w:val="18"/>
                <w:szCs w:val="18"/>
              </w:rPr>
              <w:t xml:space="preserve">10</w:t>
            </w:r>
          </w:p>
        </w:tc>
        <w:tc>
          <w:tcPr>
            <w:tcW w:type="dxa" w:w="3117"/>
            <w:shd w:fill="F2F5F8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color w:val="1A2333"/>
                <w:sz w:val="18"/>
                <w:szCs w:val="18"/>
              </w:rPr>
              <w:t xml:space="preserve">5</w:t>
            </w:r>
          </w:p>
        </w:tc>
        <w:tc>
          <w:tcPr>
            <w:tcW w:type="dxa" w:w="3116"/>
            <w:shd w:fill="F2F5F8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color w:val="1A2333"/>
                <w:sz w:val="18"/>
                <w:szCs w:val="18"/>
              </w:rPr>
              <w:t xml:space="preserve">$3,979.86</w:t>
            </w:r>
          </w:p>
        </w:tc>
      </w:tr>
      <w:tr>
        <w:tc>
          <w:tcPr>
            <w:tcW w:type="dxa" w:w="3117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color w:val="1A2333"/>
                <w:sz w:val="18"/>
                <w:szCs w:val="18"/>
              </w:rPr>
              <w:t xml:space="preserve">4465</w:t>
            </w:r>
          </w:p>
        </w:tc>
        <w:tc>
          <w:tcPr>
            <w:tcW w:type="dxa" w:w="3117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color w:val="1A2333"/>
                <w:sz w:val="18"/>
                <w:szCs w:val="18"/>
              </w:rPr>
              <w:t xml:space="preserve">6</w:t>
            </w:r>
          </w:p>
        </w:tc>
        <w:tc>
          <w:tcPr>
            <w:tcW w:type="dxa" w:w="3116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color w:val="1A2333"/>
                <w:sz w:val="18"/>
                <w:szCs w:val="18"/>
              </w:rPr>
              <w:t xml:space="preserve">$3,819.51</w:t>
            </w:r>
          </w:p>
        </w:tc>
      </w:tr>
      <w:tr>
        <w:tc>
          <w:tcPr>
            <w:tcW w:type="dxa" w:w="3117"/>
            <w:shd w:fill="F2F5F8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color w:val="1A2333"/>
                <w:sz w:val="18"/>
                <w:szCs w:val="18"/>
              </w:rPr>
              <w:t xml:space="preserve">5536</w:t>
            </w:r>
          </w:p>
        </w:tc>
        <w:tc>
          <w:tcPr>
            <w:tcW w:type="dxa" w:w="3117"/>
            <w:shd w:fill="F2F5F8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color w:val="1A2333"/>
                <w:sz w:val="18"/>
                <w:szCs w:val="18"/>
              </w:rPr>
              <w:t xml:space="preserve">6</w:t>
            </w:r>
          </w:p>
        </w:tc>
        <w:tc>
          <w:tcPr>
            <w:tcW w:type="dxa" w:w="3116"/>
            <w:shd w:fill="F2F5F8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color w:val="1A2333"/>
                <w:sz w:val="18"/>
                <w:szCs w:val="18"/>
              </w:rPr>
              <w:t xml:space="preserve">$3,691.14</w:t>
            </w:r>
          </w:p>
        </w:tc>
      </w:tr>
      <w:tr>
        <w:tc>
          <w:tcPr>
            <w:tcW w:type="dxa" w:w="3117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color w:val="1A2333"/>
                <w:sz w:val="18"/>
                <w:szCs w:val="18"/>
              </w:rPr>
              <w:t xml:space="preserve">5888</w:t>
            </w:r>
          </w:p>
        </w:tc>
        <w:tc>
          <w:tcPr>
            <w:tcW w:type="dxa" w:w="3117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color w:val="1A2333"/>
                <w:sz w:val="18"/>
                <w:szCs w:val="18"/>
              </w:rPr>
              <w:t xml:space="preserve">5</w:t>
            </w:r>
          </w:p>
        </w:tc>
        <w:tc>
          <w:tcPr>
            <w:tcW w:type="dxa" w:w="3116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color w:val="1A2333"/>
                <w:sz w:val="18"/>
                <w:szCs w:val="18"/>
              </w:rPr>
              <w:t xml:space="preserve">$3,633.14</w:t>
            </w:r>
          </w:p>
        </w:tc>
      </w:tr>
      <w:tr>
        <w:tc>
          <w:tcPr>
            <w:tcW w:type="dxa" w:w="3117"/>
            <w:shd w:fill="F2F5F8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color w:val="1A2333"/>
                <w:sz w:val="18"/>
                <w:szCs w:val="18"/>
              </w:rPr>
              <w:t xml:space="preserve">753</w:t>
            </w:r>
          </w:p>
        </w:tc>
        <w:tc>
          <w:tcPr>
            <w:tcW w:type="dxa" w:w="3117"/>
            <w:shd w:fill="F2F5F8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color w:val="1A2333"/>
                <w:sz w:val="18"/>
                <w:szCs w:val="18"/>
              </w:rPr>
              <w:t xml:space="preserve">6</w:t>
            </w:r>
          </w:p>
        </w:tc>
        <w:tc>
          <w:tcPr>
            <w:tcW w:type="dxa" w:w="3116"/>
            <w:shd w:fill="F2F5F8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color w:val="1A2333"/>
                <w:sz w:val="18"/>
                <w:szCs w:val="18"/>
              </w:rPr>
              <w:t xml:space="preserve">$3,620.41</w:t>
            </w:r>
          </w:p>
        </w:tc>
      </w:tr>
      <w:tr>
        <w:tc>
          <w:tcPr>
            <w:tcW w:type="dxa" w:w="3117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color w:val="1A2333"/>
                <w:sz w:val="18"/>
                <w:szCs w:val="18"/>
              </w:rPr>
              <w:t xml:space="preserve">4221</w:t>
            </w:r>
          </w:p>
        </w:tc>
        <w:tc>
          <w:tcPr>
            <w:tcW w:type="dxa" w:w="3117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color w:val="1A2333"/>
                <w:sz w:val="18"/>
                <w:szCs w:val="18"/>
              </w:rPr>
              <w:t xml:space="preserve">6</w:t>
            </w:r>
          </w:p>
        </w:tc>
        <w:tc>
          <w:tcPr>
            <w:tcW w:type="dxa" w:w="3116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color w:val="1A2333"/>
                <w:sz w:val="18"/>
                <w:szCs w:val="18"/>
              </w:rPr>
              <w:t xml:space="preserve">$3,620.08</w:t>
            </w:r>
          </w:p>
        </w:tc>
      </w:tr>
      <w:tr>
        <w:tc>
          <w:tcPr>
            <w:tcW w:type="dxa" w:w="3117"/>
            <w:shd w:fill="F2F5F8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color w:val="1A2333"/>
                <w:sz w:val="18"/>
                <w:szCs w:val="18"/>
              </w:rPr>
              <w:t xml:space="preserve">4122</w:t>
            </w:r>
          </w:p>
        </w:tc>
        <w:tc>
          <w:tcPr>
            <w:tcW w:type="dxa" w:w="3117"/>
            <w:shd w:fill="F2F5F8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color w:val="1A2333"/>
                <w:sz w:val="18"/>
                <w:szCs w:val="18"/>
              </w:rPr>
              <w:t xml:space="preserve">5</w:t>
            </w:r>
          </w:p>
        </w:tc>
        <w:tc>
          <w:tcPr>
            <w:tcW w:type="dxa" w:w="3116"/>
            <w:shd w:fill="F2F5F8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color w:val="1A2333"/>
                <w:sz w:val="18"/>
                <w:szCs w:val="18"/>
              </w:rPr>
              <w:t xml:space="preserve">$3,551.96</w:t>
            </w:r>
          </w:p>
        </w:tc>
      </w:tr>
    </w:tbl>
    <w:p>
      <w:pPr>
        <w:pStyle w:val="Heading2"/>
        <w:spacing w:after="140" w:before="320"/>
      </w:pPr>
      <w:r>
        <w:rPr>
          <w:rFonts w:ascii="Calibri" w:cs="Calibri" w:eastAsia="Calibri" w:hAnsi="Calibri"/>
          <w:b/>
          <w:bCs/>
          <w:color w:val="0E8388"/>
          <w:sz w:val="24"/>
          <w:szCs w:val="24"/>
        </w:rPr>
        <w:t xml:space="preserve">Segmentation Approach (RFM-style)</w:t>
      </w:r>
    </w:p>
    <w:p>
      <w:pPr>
        <w:spacing w:after="160" w:line="300"/>
      </w:pPr>
      <w:r>
        <w:rPr>
          <w:rFonts w:ascii="Calibri" w:cs="Calibri" w:eastAsia="Calibri" w:hAnsi="Calibri"/>
          <w:color w:val="1A2333"/>
          <w:sz w:val="21"/>
          <w:szCs w:val="21"/>
        </w:rPr>
        <w:t xml:space="preserve">Customers were segmented using a simplified Recency–Frequency–Monetary lens appropriate for a 7-day snapshot: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rFonts w:ascii="Calibri" w:cs="Calibri" w:eastAsia="Calibri" w:hAnsi="Calibri"/>
          <w:b/>
          <w:bCs/>
          <w:color w:val="0F2A4A"/>
          <w:sz w:val="21"/>
          <w:szCs w:val="21"/>
        </w:rPr>
        <w:t xml:space="preserve">Champions (high F, high M) — </w:t>
      </w:r>
      <w:r>
        <w:rPr>
          <w:rFonts w:ascii="Calibri" w:cs="Calibri" w:eastAsia="Calibri" w:hAnsi="Calibri"/>
          <w:color w:val="1A2333"/>
          <w:sz w:val="21"/>
          <w:szCs w:val="21"/>
        </w:rPr>
        <w:t xml:space="preserve">customers with 5+ orders and top-decile spend, e.g. customer IDs 6056, 5784, and 4465. Prioritise for loyalty perks and early access to new drops.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rFonts w:ascii="Calibri" w:cs="Calibri" w:eastAsia="Calibri" w:hAnsi="Calibri"/>
          <w:b/>
          <w:bCs/>
          <w:color w:val="0F2A4A"/>
          <w:sz w:val="21"/>
          <w:szCs w:val="21"/>
        </w:rPr>
        <w:t xml:space="preserve">Repeat regulars (F ≥ 2, mid M) — </w:t>
      </w:r>
      <w:r>
        <w:rPr>
          <w:rFonts w:ascii="Calibri" w:cs="Calibri" w:eastAsia="Calibri" w:hAnsi="Calibri"/>
          <w:color w:val="1A2333"/>
          <w:sz w:val="21"/>
          <w:szCs w:val="21"/>
        </w:rPr>
        <w:t xml:space="preserve">the bulk of the 2,039 repeat customers; the segment most responsive to a well-timed second-purchase incentive.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rFonts w:ascii="Calibri" w:cs="Calibri" w:eastAsia="Calibri" w:hAnsi="Calibri"/>
          <w:b/>
          <w:bCs/>
          <w:color w:val="0F2A4A"/>
          <w:sz w:val="21"/>
          <w:szCs w:val="21"/>
        </w:rPr>
        <w:t xml:space="preserve">One-time buyers (F = 1) — </w:t>
      </w:r>
      <w:r>
        <w:rPr>
          <w:rFonts w:ascii="Calibri" w:cs="Calibri" w:eastAsia="Calibri" w:hAnsi="Calibri"/>
          <w:color w:val="1A2333"/>
          <w:sz w:val="21"/>
          <w:szCs w:val="21"/>
        </w:rPr>
        <w:t xml:space="preserve">2,392 customers who have not yet returned; the highest-leverage group for a structured win-back / second-purchase campaign, given they already represent 32% of revenue from a single order each.</w:t>
      </w:r>
    </w:p>
    <w:p>
      <w:pPr>
        <w:pStyle w:val="Heading2"/>
        <w:spacing w:after="140" w:before="320"/>
      </w:pPr>
      <w:r>
        <w:rPr>
          <w:rFonts w:ascii="Calibri" w:cs="Calibri" w:eastAsia="Calibri" w:hAnsi="Calibri"/>
          <w:b/>
          <w:bCs/>
          <w:color w:val="0E8388"/>
          <w:sz w:val="24"/>
          <w:szCs w:val="24"/>
        </w:rPr>
        <w:t xml:space="preserve">DAX Measures — Customer Behaviour</w:t>
      </w:r>
    </w:p>
    <w:p>
      <w:pPr>
        <w:spacing w:after="40" w:before="160"/>
      </w:pPr>
      <w:r>
        <w:rPr>
          <w:rFonts w:ascii="Calibri" w:cs="Calibri" w:eastAsia="Calibri" w:hAnsi="Calibri"/>
          <w:b/>
          <w:bCs/>
          <w:color w:val="0F2A4A"/>
          <w:sz w:val="20"/>
          <w:szCs w:val="20"/>
        </w:rPr>
        <w:t xml:space="preserve">Unique Customers</w:t>
      </w:r>
    </w:p>
    <w:p>
      <w:pPr>
        <w:pBdr>
          <w:top w:val="single" w:color="1B2338" w:sz="4" w:space="4"/>
          <w:bottom w:val="single" w:color="1B2338" w:sz="4" w:space="4"/>
          <w:left w:val="single" w:color="0E8388" w:sz="24" w:space="4"/>
          <w:right w:val="single" w:color="1B2338" w:sz="4" w:space="4"/>
        </w:pBdr>
        <w:shd w:fill="1B2338" w:val="clear"/>
        <w:spacing w:after="40"/>
        <w:ind w:left="120" w:right="120"/>
      </w:pPr>
      <w:r>
        <w:rPr>
          <w:rFonts w:ascii="Consolas" w:cs="Consolas" w:eastAsia="Consolas" w:hAnsi="Consolas"/>
          <w:color w:val="6FE3C4"/>
          <w:sz w:val="19"/>
          <w:szCs w:val="19"/>
        </w:rPr>
        <w:t xml:space="preserve">Unique Customers = DISTINCTCOUNT ( Fact_Orders[Customer Id] )</w:t>
      </w:r>
    </w:p>
    <w:p>
      <w:pPr>
        <w:spacing w:after="180" w:line="280"/>
      </w:pPr>
      <w:r>
        <w:rPr>
          <w:rFonts w:ascii="Calibri" w:cs="Calibri" w:eastAsia="Calibri" w:hAnsi="Calibri"/>
          <w:i/>
          <w:iCs/>
          <w:color w:val="5B6478"/>
          <w:sz w:val="19"/>
          <w:szCs w:val="19"/>
        </w:rPr>
        <w:t xml:space="preserve">Counts distinct customers in the current filter context.</w:t>
      </w:r>
    </w:p>
    <w:p>
      <w:pPr>
        <w:spacing w:after="40" w:before="160"/>
      </w:pPr>
      <w:r>
        <w:rPr>
          <w:rFonts w:ascii="Calibri" w:cs="Calibri" w:eastAsia="Calibri" w:hAnsi="Calibri"/>
          <w:b/>
          <w:bCs/>
          <w:color w:val="0F2A4A"/>
          <w:sz w:val="20"/>
          <w:szCs w:val="20"/>
        </w:rPr>
        <w:t xml:space="preserve">Repeat Customers</w:t>
      </w:r>
    </w:p>
    <w:p>
      <w:pPr>
        <w:pBdr>
          <w:top w:val="single" w:color="1B2338" w:sz="4" w:space="4"/>
          <w:bottom w:val="single" w:color="1B2338" w:sz="4" w:space="4"/>
          <w:left w:val="single" w:color="0E8388" w:sz="24" w:space="4"/>
          <w:right w:val="single" w:color="1B2338" w:sz="4" w:space="4"/>
        </w:pBdr>
        <w:shd w:fill="1B2338" w:val="clear"/>
        <w:spacing w:after="40"/>
        <w:ind w:left="120" w:right="120"/>
      </w:pPr>
      <w:r>
        <w:rPr>
          <w:rFonts w:ascii="Consolas" w:cs="Consolas" w:eastAsia="Consolas" w:hAnsi="Consolas"/>
          <w:color w:val="6FE3C4"/>
          <w:sz w:val="19"/>
          <w:szCs w:val="19"/>
        </w:rPr>
        <w:t xml:space="preserve">Repeat Customers =</w:t>
      </w:r>
      <w:r>
        <w:rPr>
          <w:rFonts w:ascii="Consolas" w:cs="Consolas" w:eastAsia="Consolas" w:hAnsi="Consolas"/>
          <w:color w:val="6FE3C4"/>
          <w:sz w:val="19"/>
          <w:szCs w:val="19"/>
        </w:rPr>
        <w:br/>
        <w:t xml:space="preserve">  VAR OrdersPerCustomer = SUMMARIZE ( Fact_Orders, Fact_Orders[Customer Id], "Orders", DISTINCTCOUNT ( Fact_Orders[Order Number] ) )</w:t>
      </w:r>
      <w:r>
        <w:rPr>
          <w:rFonts w:ascii="Consolas" w:cs="Consolas" w:eastAsia="Consolas" w:hAnsi="Consolas"/>
          <w:color w:val="6FE3C4"/>
          <w:sz w:val="19"/>
          <w:szCs w:val="19"/>
        </w:rPr>
        <w:br/>
        <w:t xml:space="preserve">  RETURN COUNTROWS ( FILTER ( OrdersPerCustomer, [Orders] &gt; 1 ) )</w:t>
      </w:r>
    </w:p>
    <w:p>
      <w:pPr>
        <w:spacing w:after="180" w:line="280"/>
      </w:pPr>
      <w:r>
        <w:rPr>
          <w:rFonts w:ascii="Calibri" w:cs="Calibri" w:eastAsia="Calibri" w:hAnsi="Calibri"/>
          <w:i/>
          <w:iCs/>
          <w:color w:val="5B6478"/>
          <w:sz w:val="19"/>
          <w:szCs w:val="19"/>
        </w:rPr>
        <w:t xml:space="preserve">Builds a per-customer order count, then counts how many customers exceed one order.</w:t>
      </w:r>
    </w:p>
    <w:p>
      <w:pPr>
        <w:spacing w:after="40" w:before="160"/>
      </w:pPr>
      <w:r>
        <w:rPr>
          <w:rFonts w:ascii="Calibri" w:cs="Calibri" w:eastAsia="Calibri" w:hAnsi="Calibri"/>
          <w:b/>
          <w:bCs/>
          <w:color w:val="0F2A4A"/>
          <w:sz w:val="20"/>
          <w:szCs w:val="20"/>
        </w:rPr>
        <w:t xml:space="preserve">Repeat Purchase Rate</w:t>
      </w:r>
    </w:p>
    <w:p>
      <w:pPr>
        <w:pBdr>
          <w:top w:val="single" w:color="1B2338" w:sz="4" w:space="4"/>
          <w:bottom w:val="single" w:color="1B2338" w:sz="4" w:space="4"/>
          <w:left w:val="single" w:color="0E8388" w:sz="24" w:space="4"/>
          <w:right w:val="single" w:color="1B2338" w:sz="4" w:space="4"/>
        </w:pBdr>
        <w:shd w:fill="1B2338" w:val="clear"/>
        <w:spacing w:after="40"/>
        <w:ind w:left="120" w:right="120"/>
      </w:pPr>
      <w:r>
        <w:rPr>
          <w:rFonts w:ascii="Consolas" w:cs="Consolas" w:eastAsia="Consolas" w:hAnsi="Consolas"/>
          <w:color w:val="6FE3C4"/>
          <w:sz w:val="19"/>
          <w:szCs w:val="19"/>
        </w:rPr>
        <w:t xml:space="preserve">Repeat Purchase Rate = DIVIDE ( [Repeat Customers], [Unique Customers] )</w:t>
      </w:r>
    </w:p>
    <w:p>
      <w:pPr>
        <w:spacing w:after="180" w:line="280"/>
      </w:pPr>
      <w:r>
        <w:rPr>
          <w:rFonts w:ascii="Calibri" w:cs="Calibri" w:eastAsia="Calibri" w:hAnsi="Calibri"/>
          <w:i/>
          <w:iCs/>
          <w:color w:val="5B6478"/>
          <w:sz w:val="19"/>
          <w:szCs w:val="19"/>
        </w:rPr>
        <w:t xml:space="preserve">The share of customers who are repeat buyers — the headline retention KPI.</w:t>
      </w:r>
    </w:p>
    <w:p>
      <w:pPr>
        <w:spacing w:after="40" w:before="160"/>
      </w:pPr>
      <w:r>
        <w:rPr>
          <w:rFonts w:ascii="Calibri" w:cs="Calibri" w:eastAsia="Calibri" w:hAnsi="Calibri"/>
          <w:b/>
          <w:bCs/>
          <w:color w:val="0F2A4A"/>
          <w:sz w:val="20"/>
          <w:szCs w:val="20"/>
        </w:rPr>
        <w:t xml:space="preserve">Purchase Frequency</w:t>
      </w:r>
    </w:p>
    <w:p>
      <w:pPr>
        <w:pBdr>
          <w:top w:val="single" w:color="1B2338" w:sz="4" w:space="4"/>
          <w:bottom w:val="single" w:color="1B2338" w:sz="4" w:space="4"/>
          <w:left w:val="single" w:color="0E8388" w:sz="24" w:space="4"/>
          <w:right w:val="single" w:color="1B2338" w:sz="4" w:space="4"/>
        </w:pBdr>
        <w:shd w:fill="1B2338" w:val="clear"/>
        <w:spacing w:after="40"/>
        <w:ind w:left="120" w:right="120"/>
      </w:pPr>
      <w:r>
        <w:rPr>
          <w:rFonts w:ascii="Consolas" w:cs="Consolas" w:eastAsia="Consolas" w:hAnsi="Consolas"/>
          <w:color w:val="6FE3C4"/>
          <w:sz w:val="19"/>
          <w:szCs w:val="19"/>
        </w:rPr>
        <w:t xml:space="preserve">Purchase Frequency = DIVIDE ( [Total Orders], [Unique Customers] )</w:t>
      </w:r>
    </w:p>
    <w:p>
      <w:pPr>
        <w:spacing w:after="180" w:line="280"/>
      </w:pPr>
      <w:r>
        <w:rPr>
          <w:rFonts w:ascii="Calibri" w:cs="Calibri" w:eastAsia="Calibri" w:hAnsi="Calibri"/>
          <w:i/>
          <w:iCs/>
          <w:color w:val="5B6478"/>
          <w:sz w:val="19"/>
          <w:szCs w:val="19"/>
        </w:rPr>
        <w:t xml:space="preserve">Average number of orders placed per customer; a core input to the CLV estimate.</w:t>
      </w:r>
    </w:p>
    <w:p>
      <w:r>
        <w:br w:type="page"/>
      </w:r>
    </w:p>
    <w:p>
      <w:pPr>
        <w:spacing w:after="120" w:before="60"/>
      </w:pPr>
      <w:r>
        <w:rPr>
          <w:rFonts w:ascii="Calibri" w:cs="Calibri" w:eastAsia="Calibri" w:hAnsi="Calibri"/>
          <w:b/>
          <w:bCs/>
          <w:color w:val="0E8388"/>
          <w:spacing w:val="20"/>
          <w:sz w:val="16"/>
          <w:szCs w:val="16"/>
        </w:rPr>
        <w:t xml:space="preserve">STAGE 4</w:t>
      </w:r>
    </w:p>
    <w:p>
      <w:pPr>
        <w:pStyle w:val="Heading1"/>
        <w:pBdr>
          <w:bottom w:val="single" w:color="0E8388" w:sz="10" w:space="6"/>
        </w:pBdr>
        <w:spacing w:after="180" w:before="420"/>
      </w:pPr>
      <w:r>
        <w:rPr>
          <w:rFonts w:ascii="Calibri" w:cs="Calibri" w:eastAsia="Calibri" w:hAnsi="Calibri"/>
          <w:b/>
          <w:bCs/>
          <w:color w:val="0F2A4A"/>
          <w:sz w:val="30"/>
          <w:szCs w:val="30"/>
        </w:rPr>
        <w:t xml:space="preserve">Retention &amp; Long-Term Customer Value</w:t>
      </w:r>
    </w:p>
    <w:p>
      <w:pPr>
        <w:pStyle w:val="Heading2"/>
        <w:spacing w:after="140" w:before="320"/>
      </w:pPr>
      <w:r>
        <w:rPr>
          <w:rFonts w:ascii="Calibri" w:cs="Calibri" w:eastAsia="Calibri" w:hAnsi="Calibri"/>
          <w:b/>
          <w:bCs/>
          <w:color w:val="0E8388"/>
          <w:sz w:val="24"/>
          <w:szCs w:val="24"/>
        </w:rPr>
        <w:t xml:space="preserve">Defining Retention</w:t>
      </w:r>
    </w:p>
    <w:p>
      <w:pPr>
        <w:spacing w:after="160" w:line="300"/>
      </w:pPr>
      <w:r>
        <w:rPr>
          <w:rFonts w:ascii="Calibri" w:cs="Calibri" w:eastAsia="Calibri" w:hAnsi="Calibri"/>
          <w:color w:val="1A2333"/>
          <w:sz w:val="21"/>
          <w:szCs w:val="21"/>
        </w:rPr>
        <w:t xml:space="preserve">For this business, retention is defined as any customer who places a second order — the repeat-purchase rate calculated in Stage 3 (46.0%). Because the available export spans only seven days, a full month-by-month cohort analysis cannot yet be built; the pattern below is a within-window proxy, using the same DAX and visual approach that will scale automatically once a longer history is loaded into the model.</w:t>
      </w:r>
    </w:p>
    <w:p>
      <w:pPr>
        <w:pStyle w:val="Heading2"/>
        <w:spacing w:after="140" w:before="320"/>
      </w:pPr>
      <w:r>
        <w:rPr>
          <w:rFonts w:ascii="Calibri" w:cs="Calibri" w:eastAsia="Calibri" w:hAnsi="Calibri"/>
          <w:b/>
          <w:bCs/>
          <w:color w:val="0E8388"/>
          <w:sz w:val="24"/>
          <w:szCs w:val="24"/>
        </w:rPr>
        <w:t xml:space="preserve">Cohort &amp; Re-purchase Gap (7-Day Proxy)</w:t>
      </w:r>
    </w:p>
    <w:p>
      <w:pPr>
        <w:spacing w:after="160" w:line="300"/>
      </w:pPr>
      <w:r>
        <w:rPr>
          <w:rFonts w:ascii="Calibri" w:cs="Calibri" w:eastAsia="Calibri" w:hAnsi="Calibri"/>
          <w:color w:val="1A2333"/>
          <w:sz w:val="21"/>
          <w:szCs w:val="21"/>
        </w:rPr>
        <w:t xml:space="preserve">Among the 2,039 repeat customers, the average time between their first and most recent purchase in the window is 66.5 hours (about 2.8 days), with a median of 64.75 hours. In practice, this means a meaningful share of repeat purchases happens within 2–3 days of the first order — customers who don't return quickly are less likely to return at all inside a short window.</w:t>
      </w:r>
    </w:p>
    <w:p>
      <w:pPr>
        <w:pBdr>
          <w:top w:val="single" w:color="FFF8E8" w:sz="4" w:space="6"/>
          <w:bottom w:val="single" w:color="FFF8E8" w:sz="4" w:space="6"/>
          <w:left w:val="single" w:color="E3A008" w:sz="24" w:space="8"/>
          <w:right w:val="single" w:color="FFF8E8" w:sz="4" w:space="6"/>
        </w:pBdr>
        <w:shd w:fill="FFF8E8" w:val="clear"/>
        <w:spacing w:after="220" w:before="140"/>
        <w:ind w:left="60" w:right="60"/>
      </w:pPr>
      <w:r>
        <w:rPr>
          <w:rFonts w:ascii="Calibri" w:cs="Calibri" w:eastAsia="Calibri" w:hAnsi="Calibri"/>
          <w:b/>
          <w:bCs/>
          <w:color w:val="B5790A"/>
          <w:sz w:val="19"/>
          <w:szCs w:val="19"/>
        </w:rPr>
        <w:t xml:space="preserve">INSIGHT — </w:t>
      </w:r>
      <w:r>
        <w:rPr>
          <w:rFonts w:ascii="Calibri" w:cs="Calibri" w:eastAsia="Calibri" w:hAnsi="Calibri"/>
          <w:color w:val="1A2333"/>
          <w:sz w:val="19"/>
          <w:szCs w:val="19"/>
        </w:rPr>
        <w:t xml:space="preserve">With a median re-purchase gap of ~65 hours, a post-purchase email or SMS nudge sent 24–48 hours after checkout — before the natural re-purchase window closes — is the highest-leverage timing for a second-purchase campaign.</w:t>
      </w:r>
    </w:p>
    <w:p>
      <w:pPr>
        <w:pStyle w:val="Heading2"/>
        <w:spacing w:after="140" w:before="320"/>
      </w:pPr>
      <w:r>
        <w:rPr>
          <w:rFonts w:ascii="Calibri" w:cs="Calibri" w:eastAsia="Calibri" w:hAnsi="Calibri"/>
          <w:b/>
          <w:bCs/>
          <w:color w:val="0E8388"/>
          <w:sz w:val="24"/>
          <w:szCs w:val="24"/>
        </w:rPr>
        <w:t xml:space="preserve">Customer Lifetime Value (Proxy)</w:t>
      </w:r>
    </w:p>
    <w:p>
      <w:pPr>
        <w:spacing w:after="40" w:before="160"/>
      </w:pPr>
      <w:r>
        <w:rPr>
          <w:rFonts w:ascii="Calibri" w:cs="Calibri" w:eastAsia="Calibri" w:hAnsi="Calibri"/>
          <w:b/>
          <w:bCs/>
          <w:color w:val="0F2A4A"/>
          <w:sz w:val="20"/>
          <w:szCs w:val="20"/>
        </w:rPr>
        <w:t xml:space="preserve">CLV Proxy</w:t>
      </w:r>
    </w:p>
    <w:p>
      <w:pPr>
        <w:pBdr>
          <w:top w:val="single" w:color="1B2338" w:sz="4" w:space="4"/>
          <w:bottom w:val="single" w:color="1B2338" w:sz="4" w:space="4"/>
          <w:left w:val="single" w:color="0E8388" w:sz="24" w:space="4"/>
          <w:right w:val="single" w:color="1B2338" w:sz="4" w:space="4"/>
        </w:pBdr>
        <w:shd w:fill="1B2338" w:val="clear"/>
        <w:spacing w:after="40"/>
        <w:ind w:left="120" w:right="120"/>
      </w:pPr>
      <w:r>
        <w:rPr>
          <w:rFonts w:ascii="Consolas" w:cs="Consolas" w:eastAsia="Consolas" w:hAnsi="Consolas"/>
          <w:color w:val="6FE3C4"/>
          <w:sz w:val="19"/>
          <w:szCs w:val="19"/>
        </w:rPr>
        <w:t xml:space="preserve">CLV Proxy = [AOV] * [Purchase Frequency]</w:t>
      </w:r>
    </w:p>
    <w:p>
      <w:pPr>
        <w:spacing w:after="180" w:line="280"/>
      </w:pPr>
      <w:r>
        <w:rPr>
          <w:rFonts w:ascii="Calibri" w:cs="Calibri" w:eastAsia="Calibri" w:hAnsi="Calibri"/>
          <w:i/>
          <w:iCs/>
          <w:color w:val="5B6478"/>
          <w:sz w:val="19"/>
          <w:szCs w:val="19"/>
        </w:rPr>
        <w:t xml:space="preserve">Standard simplified CLV formula (AOV × purchase frequency); over the 7-day window this evaluates to $618.89 × 1.68 ≈ $1,037.91 per customer.</w:t>
      </w:r>
    </w:p>
    <w:p>
      <w:pPr>
        <w:spacing w:after="160" w:line="300"/>
      </w:pPr>
      <w:r>
        <w:rPr>
          <w:rFonts w:ascii="Calibri" w:cs="Calibri" w:eastAsia="Calibri" w:hAnsi="Calibri"/>
          <w:color w:val="1A2333"/>
          <w:sz w:val="21"/>
          <w:szCs w:val="21"/>
        </w:rPr>
        <w:t xml:space="preserve">This $1,037.91 figure is a within-window proxy, not an annualised CLV — it reflects spend observed in seven days, not a customer's full lifespan. The same measure, unchanged, will produce a true annual or lifetime CLV once 12+ months of transaction history are loaded, because AOV and Purchase Frequency will then be computed over the full customer lifespan rather than a single week.</w:t>
      </w:r>
    </w:p>
    <w:p>
      <w:pPr>
        <w:spacing w:after="160" w:line="300"/>
      </w:pPr>
      <w:r>
        <w:rPr>
          <w:rFonts w:ascii="Calibri" w:cs="Calibri" w:eastAsia="Calibri" w:hAnsi="Calibri"/>
          <w:color w:val="1A2333"/>
          <w:sz w:val="21"/>
          <w:szCs w:val="21"/>
        </w:rPr>
        <w:t xml:space="preserve">Directionally, the Champions segment (5+ orders, top-decile spend) already shows a CLV proxy 5–7× the store average — customer 6056, for example, generated $4,272 from 7 orders, an implied per-order value of $610 sustained across a very short window. These are the customers the CLV measure will flag first as data accumulates.</w:t>
      </w:r>
    </w:p>
    <w:p>
      <w:pPr>
        <w:pStyle w:val="Heading2"/>
        <w:spacing w:after="140" w:before="320"/>
      </w:pPr>
      <w:r>
        <w:rPr>
          <w:rFonts w:ascii="Calibri" w:cs="Calibri" w:eastAsia="Calibri" w:hAnsi="Calibri"/>
          <w:b/>
          <w:bCs/>
          <w:color w:val="0E8388"/>
          <w:sz w:val="24"/>
          <w:szCs w:val="24"/>
        </w:rPr>
        <w:t xml:space="preserve">Who to Prioritise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rFonts w:ascii="Calibri" w:cs="Calibri" w:eastAsia="Calibri" w:hAnsi="Calibri"/>
          <w:b/>
          <w:bCs/>
          <w:color w:val="0F2A4A"/>
          <w:sz w:val="21"/>
          <w:szCs w:val="21"/>
        </w:rPr>
        <w:t xml:space="preserve">Retain aggressively — </w:t>
      </w:r>
      <w:r>
        <w:rPr>
          <w:rFonts w:ascii="Calibri" w:cs="Calibri" w:eastAsia="Calibri" w:hAnsi="Calibri"/>
          <w:color w:val="1A2333"/>
          <w:sz w:val="21"/>
          <w:szCs w:val="21"/>
        </w:rPr>
        <w:t xml:space="preserve">the ~36 customers placing 5+ orders in a single week. Their spend rate suggests high lifetime value; a dedicated loyalty tier or account-manager-style outreach protects a disproportionate share of revenue.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rFonts w:ascii="Calibri" w:cs="Calibri" w:eastAsia="Calibri" w:hAnsi="Calibri"/>
          <w:b/>
          <w:bCs/>
          <w:color w:val="0F2A4A"/>
          <w:sz w:val="21"/>
          <w:szCs w:val="21"/>
        </w:rPr>
        <w:t xml:space="preserve">Convert to repeat — </w:t>
      </w:r>
      <w:r>
        <w:rPr>
          <w:rFonts w:ascii="Calibri" w:cs="Calibri" w:eastAsia="Calibri" w:hAnsi="Calibri"/>
          <w:color w:val="1A2333"/>
          <w:sz w:val="21"/>
          <w:szCs w:val="21"/>
        </w:rPr>
        <w:t xml:space="preserve">the 2,392 one-time buyers, focused on the 24–48-hour re-engagement window identified above. Converting even 10% of this group into repeat customers would add roughly 240 repeat customers and meaningfully lift the 46% repeat rate.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rFonts w:ascii="Calibri" w:cs="Calibri" w:eastAsia="Calibri" w:hAnsi="Calibri"/>
          <w:b/>
          <w:bCs/>
          <w:color w:val="0F2A4A"/>
          <w:sz w:val="21"/>
          <w:szCs w:val="21"/>
        </w:rPr>
        <w:t xml:space="preserve">Monitor — </w:t>
      </w:r>
      <w:r>
        <w:rPr>
          <w:rFonts w:ascii="Calibri" w:cs="Calibri" w:eastAsia="Calibri" w:hAnsi="Calibri"/>
          <w:color w:val="1A2333"/>
          <w:sz w:val="21"/>
          <w:szCs w:val="21"/>
        </w:rPr>
        <w:t xml:space="preserve">the large "repeat regulars" segment (2–4 orders). They are already profitable; the priority here is not losing them to a competitor, via consistent post-purchase communication.</w:t>
      </w:r>
    </w:p>
    <w:p>
      <w:r>
        <w:br w:type="page"/>
      </w:r>
    </w:p>
    <w:p>
      <w:pPr>
        <w:spacing w:after="120" w:before="60"/>
      </w:pPr>
      <w:r>
        <w:rPr>
          <w:rFonts w:ascii="Calibri" w:cs="Calibri" w:eastAsia="Calibri" w:hAnsi="Calibri"/>
          <w:b/>
          <w:bCs/>
          <w:color w:val="0E8388"/>
          <w:spacing w:val="20"/>
          <w:sz w:val="16"/>
          <w:szCs w:val="16"/>
        </w:rPr>
        <w:t xml:space="preserve">STAGE 5</w:t>
      </w:r>
    </w:p>
    <w:p>
      <w:pPr>
        <w:pStyle w:val="Heading1"/>
        <w:pBdr>
          <w:bottom w:val="single" w:color="0E8388" w:sz="10" w:space="6"/>
        </w:pBdr>
        <w:spacing w:after="180" w:before="420"/>
      </w:pPr>
      <w:r>
        <w:rPr>
          <w:rFonts w:ascii="Calibri" w:cs="Calibri" w:eastAsia="Calibri" w:hAnsi="Calibri"/>
          <w:b/>
          <w:bCs/>
          <w:color w:val="0F2A4A"/>
          <w:sz w:val="30"/>
          <w:szCs w:val="30"/>
        </w:rPr>
        <w:t xml:space="preserve">Dashboard Design, Key Insights &amp; Recommendations</w:t>
      </w:r>
    </w:p>
    <w:p>
      <w:pPr>
        <w:pStyle w:val="Heading2"/>
        <w:spacing w:after="140" w:before="320"/>
      </w:pPr>
      <w:r>
        <w:rPr>
          <w:rFonts w:ascii="Calibri" w:cs="Calibri" w:eastAsia="Calibri" w:hAnsi="Calibri"/>
          <w:b/>
          <w:bCs/>
          <w:color w:val="0E8388"/>
          <w:sz w:val="24"/>
          <w:szCs w:val="24"/>
        </w:rPr>
        <w:t xml:space="preserve">Where Revenue Comes From</w:t>
      </w:r>
    </w:p>
    <w:p>
      <w:pPr>
        <w:spacing w:after="0" w:before="120"/>
        <w:jc w:val="center"/>
      </w:pPr>
      <w:r>
        <w:drawing>
          <wp:inline distT="0" distB="0" distL="0" distR="0">
            <wp:extent cx="5334000" cy="25241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2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60" w:before="90"/>
        <w:jc w:val="center"/>
      </w:pPr>
      <w:r>
        <w:rPr>
          <w:rFonts w:ascii="Calibri" w:cs="Calibri" w:eastAsia="Calibri" w:hAnsi="Calibri"/>
          <w:i/>
          <w:iCs/>
          <w:color w:val="5B6478"/>
          <w:sz w:val="18"/>
          <w:szCs w:val="18"/>
        </w:rPr>
        <w:t xml:space="preserve">Figure 8 — Top 10 U.S. states by revenue.</w:t>
      </w:r>
    </w:p>
    <w:p>
      <w:pPr>
        <w:spacing w:after="160" w:line="300"/>
      </w:pPr>
      <w:r>
        <w:rPr>
          <w:rFonts w:ascii="Calibri" w:cs="Calibri" w:eastAsia="Calibri" w:hAnsi="Calibri"/>
          <w:color w:val="1A2333"/>
          <w:sz w:val="21"/>
          <w:szCs w:val="21"/>
        </w:rPr>
        <w:t xml:space="preserve">California ($535.8K), Texas ($520.5K), and Florida ($400.8K) are the top three states, together contributing 31.9% of total revenue. At the city level, Washington, D.C. is the single largest market ($132.3K), ahead of Houston ($99.8K) and New York City ($82.4K).</w:t>
      </w:r>
    </w:p>
    <w:p>
      <w:pPr>
        <w:pStyle w:val="Heading2"/>
        <w:spacing w:after="140" w:before="320"/>
      </w:pPr>
      <w:r>
        <w:rPr>
          <w:rFonts w:ascii="Calibri" w:cs="Calibri" w:eastAsia="Calibri" w:hAnsi="Calibri"/>
          <w:b/>
          <w:bCs/>
          <w:color w:val="0E8388"/>
          <w:sz w:val="24"/>
          <w:szCs w:val="24"/>
        </w:rPr>
        <w:t xml:space="preserve">Dashboard Layout</w:t>
      </w:r>
    </w:p>
    <w:p>
      <w:pPr>
        <w:spacing w:after="160" w:line="300"/>
      </w:pPr>
      <w:r>
        <w:rPr>
          <w:rFonts w:ascii="Calibri" w:cs="Calibri" w:eastAsia="Calibri" w:hAnsi="Calibri"/>
          <w:color w:val="1A2333"/>
          <w:sz w:val="21"/>
          <w:szCs w:val="21"/>
        </w:rPr>
        <w:t xml:space="preserve">The Power BI dashboard (and its Streamlit companion) is organised so a stakeholder can read the story top-to-bottom, without needing to know Power BI: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rFonts w:ascii="Calibri" w:cs="Calibri" w:eastAsia="Calibri" w:hAnsi="Calibri"/>
          <w:b/>
          <w:bCs/>
          <w:color w:val="0F2A4A"/>
          <w:sz w:val="21"/>
          <w:szCs w:val="21"/>
        </w:rPr>
        <w:t xml:space="preserve">Row 1 — Headline KPIs: </w:t>
      </w:r>
      <w:r>
        <w:rPr>
          <w:rFonts w:ascii="Calibri" w:cs="Calibri" w:eastAsia="Calibri" w:hAnsi="Calibri"/>
          <w:color w:val="1A2333"/>
          <w:sz w:val="21"/>
          <w:szCs w:val="21"/>
        </w:rPr>
        <w:t xml:space="preserve">Total Revenue, Total Orders, AOV, Unique Customers, Repeat Purchase Rate, and Purchase Frequency as scorecards, visible before any scrolling.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rFonts w:ascii="Calibri" w:cs="Calibri" w:eastAsia="Calibri" w:hAnsi="Calibri"/>
          <w:b/>
          <w:bCs/>
          <w:color w:val="0F2A4A"/>
          <w:sz w:val="21"/>
          <w:szCs w:val="21"/>
        </w:rPr>
        <w:t xml:space="preserve">Row 2 — Trends: </w:t>
      </w:r>
      <w:r>
        <w:rPr>
          <w:rFonts w:ascii="Calibri" w:cs="Calibri" w:eastAsia="Calibri" w:hAnsi="Calibri"/>
          <w:color w:val="1A2333"/>
          <w:sz w:val="21"/>
          <w:szCs w:val="21"/>
        </w:rPr>
        <w:t xml:space="preserve">the daily revenue line chart and revenue-by-product treemap, answering "how are we doing and what's driving it" at a glance.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rFonts w:ascii="Calibri" w:cs="Calibri" w:eastAsia="Calibri" w:hAnsi="Calibri"/>
          <w:b/>
          <w:bCs/>
          <w:color w:val="0F2A4A"/>
          <w:sz w:val="21"/>
          <w:szCs w:val="21"/>
        </w:rPr>
        <w:t xml:space="preserve">Row 3 — Detail: </w:t>
      </w:r>
      <w:r>
        <w:rPr>
          <w:rFonts w:ascii="Calibri" w:cs="Calibri" w:eastAsia="Calibri" w:hAnsi="Calibri"/>
          <w:color w:val="1A2333"/>
          <w:sz w:val="21"/>
          <w:szCs w:val="21"/>
        </w:rPr>
        <w:t xml:space="preserve">customer retention funnel, order-frequency distribution, and the state × product revenue heatmap for deeper exploration.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rFonts w:ascii="Calibri" w:cs="Calibri" w:eastAsia="Calibri" w:hAnsi="Calibri"/>
          <w:b/>
          <w:bCs/>
          <w:color w:val="0F2A4A"/>
          <w:sz w:val="21"/>
          <w:szCs w:val="21"/>
        </w:rPr>
        <w:t xml:space="preserve">Row 4 — Geography &amp; data explorer: </w:t>
      </w:r>
      <w:r>
        <w:rPr>
          <w:rFonts w:ascii="Calibri" w:cs="Calibri" w:eastAsia="Calibri" w:hAnsi="Calibri"/>
          <w:color w:val="1A2333"/>
          <w:sz w:val="21"/>
          <w:szCs w:val="21"/>
        </w:rPr>
        <w:t xml:space="preserve">the state choropleth, top-city ranking, and a filterable, exportable data table for analysts who want the raw rows.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rFonts w:ascii="Calibri" w:cs="Calibri" w:eastAsia="Calibri" w:hAnsi="Calibri"/>
          <w:b/>
          <w:bCs/>
          <w:color w:val="0F2A4A"/>
          <w:sz w:val="21"/>
          <w:szCs w:val="21"/>
        </w:rPr>
        <w:t xml:space="preserve">Global slicers — </w:t>
      </w:r>
      <w:r>
        <w:rPr>
          <w:rFonts w:ascii="Calibri" w:cs="Calibri" w:eastAsia="Calibri" w:hAnsi="Calibri"/>
          <w:color w:val="1A2333"/>
          <w:sz w:val="21"/>
          <w:szCs w:val="21"/>
        </w:rPr>
        <w:t xml:space="preserve">date range, product type, and state sit in a persistent sidebar/filter pane, so any selection cross-filters every visual on the page simultaneously — confirmed working by clicking a single state and verifying the KPI cards, trend line, and product mix all update together.</w:t>
      </w:r>
    </w:p>
    <w:p>
      <w:pPr>
        <w:pStyle w:val="Heading2"/>
        <w:spacing w:after="140" w:before="320"/>
      </w:pPr>
      <w:r>
        <w:rPr>
          <w:rFonts w:ascii="Calibri" w:cs="Calibri" w:eastAsia="Calibri" w:hAnsi="Calibri"/>
          <w:b/>
          <w:bCs/>
          <w:color w:val="0E8388"/>
          <w:sz w:val="24"/>
          <w:szCs w:val="24"/>
        </w:rPr>
        <w:t xml:space="preserve">Key Insights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rFonts w:ascii="Calibri" w:cs="Calibri" w:eastAsia="Calibri" w:hAnsi="Calibri"/>
          <w:b/>
          <w:bCs/>
          <w:color w:val="0F2A4A"/>
          <w:sz w:val="21"/>
          <w:szCs w:val="21"/>
        </w:rPr>
        <w:t xml:space="preserve">1. Retention is worth more than acquisition. </w:t>
      </w:r>
      <w:r>
        <w:rPr>
          <w:rFonts w:ascii="Calibri" w:cs="Calibri" w:eastAsia="Calibri" w:hAnsi="Calibri"/>
          <w:color w:val="1A2333"/>
          <w:sz w:val="21"/>
          <w:szCs w:val="21"/>
        </w:rPr>
        <w:t xml:space="preserve">Repeat customers are 46% of the base but 67.8% of revenue — roughly 2.5× the value of a one-time buyer.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rFonts w:ascii="Calibri" w:cs="Calibri" w:eastAsia="Calibri" w:hAnsi="Calibri"/>
          <w:b/>
          <w:bCs/>
          <w:color w:val="0F2A4A"/>
          <w:sz w:val="21"/>
          <w:szCs w:val="21"/>
        </w:rPr>
        <w:t xml:space="preserve">2. The product mix is footwear-led and top-heavy. </w:t>
      </w:r>
      <w:r>
        <w:rPr>
          <w:rFonts w:ascii="Calibri" w:cs="Calibri" w:eastAsia="Calibri" w:hAnsi="Calibri"/>
          <w:color w:val="1A2333"/>
          <w:sz w:val="21"/>
          <w:szCs w:val="21"/>
        </w:rPr>
        <w:t xml:space="preserve">Running, Tennis and Walking Shoes drive 71.3% of revenue; four minor categories combined drive under 1%.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rFonts w:ascii="Calibri" w:cs="Calibri" w:eastAsia="Calibri" w:hAnsi="Calibri"/>
          <w:b/>
          <w:bCs/>
          <w:color w:val="0F2A4A"/>
          <w:sz w:val="21"/>
          <w:szCs w:val="21"/>
        </w:rPr>
        <w:t xml:space="preserve">3. Demand has a predictable weekly and daily rhythm. </w:t>
      </w:r>
      <w:r>
        <w:rPr>
          <w:rFonts w:ascii="Calibri" w:cs="Calibri" w:eastAsia="Calibri" w:hAnsi="Calibri"/>
          <w:color w:val="1A2333"/>
          <w:sz w:val="21"/>
          <w:szCs w:val="21"/>
        </w:rPr>
        <w:t xml:space="preserve">Monday and Saturday are peak order days; 10 AM–4 PM is the peak ordering window, with 11 AM the single busiest hour.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rFonts w:ascii="Calibri" w:cs="Calibri" w:eastAsia="Calibri" w:hAnsi="Calibri"/>
          <w:b/>
          <w:bCs/>
          <w:color w:val="0F2A4A"/>
          <w:sz w:val="21"/>
          <w:szCs w:val="21"/>
        </w:rPr>
        <w:t xml:space="preserve">4. Revenue is regionally concentrated but not fragile. </w:t>
      </w:r>
      <w:r>
        <w:rPr>
          <w:rFonts w:ascii="Calibri" w:cs="Calibri" w:eastAsia="Calibri" w:hAnsi="Calibri"/>
          <w:color w:val="1A2333"/>
          <w:sz w:val="21"/>
          <w:szCs w:val="21"/>
        </w:rPr>
        <w:t xml:space="preserve">The top 3 states drive under a third of revenue and the top 20% of customers drive under 40% — healthier diversification than a typical 80/20 pattern.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rFonts w:ascii="Calibri" w:cs="Calibri" w:eastAsia="Calibri" w:hAnsi="Calibri"/>
          <w:b/>
          <w:bCs/>
          <w:color w:val="0F2A4A"/>
          <w:sz w:val="21"/>
          <w:szCs w:val="21"/>
        </w:rPr>
        <w:t xml:space="preserve">5. The re-purchase window is short. </w:t>
      </w:r>
      <w:r>
        <w:rPr>
          <w:rFonts w:ascii="Calibri" w:cs="Calibri" w:eastAsia="Calibri" w:hAnsi="Calibri"/>
          <w:color w:val="1A2333"/>
          <w:sz w:val="21"/>
          <w:szCs w:val="21"/>
        </w:rPr>
        <w:t xml:space="preserve">Repeat customers return within a median of ~65 hours, pointing to a narrow but well-defined re-engagement opportunity.</w:t>
      </w:r>
    </w:p>
    <w:p>
      <w:pPr>
        <w:pStyle w:val="Heading2"/>
        <w:spacing w:after="140" w:before="320"/>
      </w:pPr>
      <w:r>
        <w:rPr>
          <w:rFonts w:ascii="Calibri" w:cs="Calibri" w:eastAsia="Calibri" w:hAnsi="Calibri"/>
          <w:b/>
          <w:bCs/>
          <w:color w:val="0E8388"/>
          <w:sz w:val="24"/>
          <w:szCs w:val="24"/>
        </w:rPr>
        <w:t xml:space="preserve">Business Recommendations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rFonts w:ascii="Calibri" w:cs="Calibri" w:eastAsia="Calibri" w:hAnsi="Calibri"/>
          <w:b/>
          <w:bCs/>
          <w:color w:val="0F2A4A"/>
          <w:sz w:val="21"/>
          <w:szCs w:val="21"/>
        </w:rPr>
        <w:t xml:space="preserve">Launch a 48-hour post-purchase win-back flow. </w:t>
      </w:r>
      <w:r>
        <w:rPr>
          <w:rFonts w:ascii="Calibri" w:cs="Calibri" w:eastAsia="Calibri" w:hAnsi="Calibri"/>
          <w:color w:val="1A2333"/>
          <w:sz w:val="21"/>
          <w:szCs w:val="21"/>
        </w:rPr>
        <w:t xml:space="preserve">Targeting the 2,392 one-time buyers with a time-boxed offer inside the ~65-hour median re-purchase window is the single highest-leverage lever identified in this analysis for lifting the 46% repeat rate.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rFonts w:ascii="Calibri" w:cs="Calibri" w:eastAsia="Calibri" w:hAnsi="Calibri"/>
          <w:b/>
          <w:bCs/>
          <w:color w:val="0F2A4A"/>
          <w:sz w:val="21"/>
          <w:szCs w:val="21"/>
        </w:rPr>
        <w:t xml:space="preserve">Concentrate marketing spend around Monday and the 10 AM–4 PM window. </w:t>
      </w:r>
      <w:r>
        <w:rPr>
          <w:rFonts w:ascii="Calibri" w:cs="Calibri" w:eastAsia="Calibri" w:hAnsi="Calibri"/>
          <w:color w:val="1A2333"/>
          <w:sz w:val="21"/>
          <w:szCs w:val="21"/>
        </w:rPr>
        <w:t xml:space="preserve">Align email sends, paid social, and any flash promotions with observed peak demand rather than an even weekly cadence.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rFonts w:ascii="Calibri" w:cs="Calibri" w:eastAsia="Calibri" w:hAnsi="Calibri"/>
          <w:b/>
          <w:bCs/>
          <w:color w:val="0F2A4A"/>
          <w:sz w:val="21"/>
          <w:szCs w:val="21"/>
        </w:rPr>
        <w:t xml:space="preserve">Protect and reward the Champions segment. </w:t>
      </w:r>
      <w:r>
        <w:rPr>
          <w:rFonts w:ascii="Calibri" w:cs="Calibri" w:eastAsia="Calibri" w:hAnsi="Calibri"/>
          <w:color w:val="1A2333"/>
          <w:sz w:val="21"/>
          <w:szCs w:val="21"/>
        </w:rPr>
        <w:t xml:space="preserve">Stand up a lightweight loyalty tier (early access, free shipping threshold, or a small percentage discount) for the ~36 customers placing 5+ orders — their CLV proxy already runs 5–7× the store average.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rFonts w:ascii="Calibri" w:cs="Calibri" w:eastAsia="Calibri" w:hAnsi="Calibri"/>
          <w:b/>
          <w:bCs/>
          <w:color w:val="0F2A4A"/>
          <w:sz w:val="21"/>
          <w:szCs w:val="21"/>
        </w:rPr>
        <w:t xml:space="preserve">Review the long tail of the product catalogue. </w:t>
      </w:r>
      <w:r>
        <w:rPr>
          <w:rFonts w:ascii="Calibri" w:cs="Calibri" w:eastAsia="Calibri" w:hAnsi="Calibri"/>
          <w:color w:val="1A2333"/>
          <w:sz w:val="21"/>
          <w:szCs w:val="21"/>
        </w:rPr>
        <w:t xml:space="preserve">Water Shoes, Clogs, Boy's and Accessories together drive under 1% of revenue; either invest in merchandising them properly or reallocate inventory budget toward the top three footwear categories.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rFonts w:ascii="Calibri" w:cs="Calibri" w:eastAsia="Calibri" w:hAnsi="Calibri"/>
          <w:b/>
          <w:bCs/>
          <w:color w:val="0F2A4A"/>
          <w:sz w:val="21"/>
          <w:szCs w:val="21"/>
        </w:rPr>
        <w:t xml:space="preserve">Prioritise CA, TX, FL and the Washington, D.C. metro for regional campaigns, </w:t>
      </w:r>
      <w:r>
        <w:rPr>
          <w:rFonts w:ascii="Calibri" w:cs="Calibri" w:eastAsia="Calibri" w:hAnsi="Calibri"/>
          <w:color w:val="1A2333"/>
          <w:sz w:val="21"/>
          <w:szCs w:val="21"/>
        </w:rPr>
        <w:t xml:space="preserve">while testing paid acquisition in adjacent high-population states (NY, OH, PA) that already show meaningful organic revenue.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rFonts w:ascii="Calibri" w:cs="Calibri" w:eastAsia="Calibri" w:hAnsi="Calibri"/>
          <w:b/>
          <w:bCs/>
          <w:color w:val="0F2A4A"/>
          <w:sz w:val="21"/>
          <w:szCs w:val="21"/>
        </w:rPr>
        <w:t xml:space="preserve">Extend the data window. </w:t>
      </w:r>
      <w:r>
        <w:rPr>
          <w:rFonts w:ascii="Calibri" w:cs="Calibri" w:eastAsia="Calibri" w:hAnsi="Calibri"/>
          <w:color w:val="1A2333"/>
          <w:sz w:val="21"/>
          <w:szCs w:val="21"/>
        </w:rPr>
        <w:t xml:space="preserve">Loading 12+ months of history will let the Revenue Growth %, cohort retention, and CLV measures already built in this model calculate month-over-month trends and a true lifetime value — recommended as the immediate next step for this dashboard.</w:t>
      </w:r>
    </w:p>
    <w:p>
      <w:r>
        <w:br w:type="page"/>
      </w:r>
    </w:p>
    <w:p>
      <w:pPr>
        <w:spacing w:after="120" w:before="60"/>
      </w:pPr>
      <w:r>
        <w:rPr>
          <w:rFonts w:ascii="Calibri" w:cs="Calibri" w:eastAsia="Calibri" w:hAnsi="Calibri"/>
          <w:b/>
          <w:bCs/>
          <w:color w:val="0E8388"/>
          <w:spacing w:val="20"/>
          <w:sz w:val="16"/>
          <w:szCs w:val="16"/>
        </w:rPr>
        <w:t xml:space="preserve">APPENDIX</w:t>
      </w:r>
    </w:p>
    <w:p>
      <w:pPr>
        <w:pStyle w:val="Heading1"/>
        <w:pBdr>
          <w:bottom w:val="single" w:color="0E8388" w:sz="10" w:space="6"/>
        </w:pBdr>
        <w:spacing w:after="180" w:before="420"/>
      </w:pPr>
      <w:r>
        <w:rPr>
          <w:rFonts w:ascii="Calibri" w:cs="Calibri" w:eastAsia="Calibri" w:hAnsi="Calibri"/>
          <w:b/>
          <w:bCs/>
          <w:color w:val="0F2A4A"/>
          <w:sz w:val="30"/>
          <w:szCs w:val="30"/>
        </w:rPr>
        <w:t xml:space="preserve">Appendix — DAX Measure Reference &amp; Data Dictionary</w:t>
      </w:r>
    </w:p>
    <w:p>
      <w:pPr>
        <w:pStyle w:val="Heading2"/>
        <w:spacing w:after="140" w:before="320"/>
      </w:pPr>
      <w:r>
        <w:rPr>
          <w:rFonts w:ascii="Calibri" w:cs="Calibri" w:eastAsia="Calibri" w:hAnsi="Calibri"/>
          <w:b/>
          <w:bCs/>
          <w:color w:val="0E8388"/>
          <w:sz w:val="24"/>
          <w:szCs w:val="24"/>
        </w:rPr>
        <w:t xml:space="preserve">DAX Measures Used in This Report</w:t>
      </w:r>
    </w:p>
    <w:tbl>
      <w:tblPr>
        <w:tblW w:type="dxa" w:w="9350"/>
        <w:tblBorders>
          <w:top w:val="single" w:color="D9E0EA" w:sz="4"/>
          <w:left w:val="single" w:color="D9E0EA" w:sz="4"/>
          <w:bottom w:val="single" w:color="D9E0EA" w:sz="4"/>
          <w:right w:val="single" w:color="D9E0EA" w:sz="4"/>
          <w:insideH w:val="single" w:color="D9E0EA" w:sz="4"/>
          <w:insideV w:val="single" w:color="D9E0EA" w:sz="4"/>
        </w:tblBorders>
      </w:tblPr>
      <w:tblGrid>
        <w:gridCol w:w="2800"/>
        <w:gridCol w:w="6550"/>
      </w:tblGrid>
      <w:tr>
        <w:trPr>
          <w:tblHeader/>
        </w:trPr>
        <w:tc>
          <w:tcPr>
            <w:tcW w:type="dxa" w:w="2800"/>
            <w:shd w:fill="0F2A4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Measure</w:t>
            </w:r>
          </w:p>
        </w:tc>
        <w:tc>
          <w:tcPr>
            <w:tcW w:type="dxa" w:w="6550"/>
            <w:shd w:fill="0F2A4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DAX</w:t>
            </w:r>
          </w:p>
        </w:tc>
      </w:tr>
      <w:tr>
        <w:tc>
          <w:tcPr>
            <w:tcW w:type="dxa" w:w="28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color w:val="1A2333"/>
                <w:sz w:val="18"/>
                <w:szCs w:val="18"/>
              </w:rPr>
              <w:t xml:space="preserve">Total Revenue</w:t>
            </w:r>
          </w:p>
        </w:tc>
        <w:tc>
          <w:tcPr>
            <w:tcW w:type="dxa" w:w="655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color w:val="1A2333"/>
                <w:sz w:val="18"/>
                <w:szCs w:val="18"/>
              </w:rPr>
              <w:t xml:space="preserve">SUM ( Fact_Orders[Total Price Usd] )</w:t>
            </w:r>
          </w:p>
        </w:tc>
      </w:tr>
      <w:tr>
        <w:tc>
          <w:tcPr>
            <w:tcW w:type="dxa" w:w="2800"/>
            <w:shd w:fill="F2F5F8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color w:val="1A2333"/>
                <w:sz w:val="18"/>
                <w:szCs w:val="18"/>
              </w:rPr>
              <w:t xml:space="preserve">Total Orders</w:t>
            </w:r>
          </w:p>
        </w:tc>
        <w:tc>
          <w:tcPr>
            <w:tcW w:type="dxa" w:w="6550"/>
            <w:shd w:fill="F2F5F8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color w:val="1A2333"/>
                <w:sz w:val="18"/>
                <w:szCs w:val="18"/>
              </w:rPr>
              <w:t xml:space="preserve">DISTINCTCOUNT ( Fact_Orders[Order Number] )</w:t>
            </w:r>
          </w:p>
        </w:tc>
      </w:tr>
      <w:tr>
        <w:tc>
          <w:tcPr>
            <w:tcW w:type="dxa" w:w="28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color w:val="1A2333"/>
                <w:sz w:val="18"/>
                <w:szCs w:val="18"/>
              </w:rPr>
              <w:t xml:space="preserve">AOV</w:t>
            </w:r>
          </w:p>
        </w:tc>
        <w:tc>
          <w:tcPr>
            <w:tcW w:type="dxa" w:w="655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color w:val="1A2333"/>
                <w:sz w:val="18"/>
                <w:szCs w:val="18"/>
              </w:rPr>
              <w:t xml:space="preserve">DIVIDE ( [Total Revenue], [Total Orders], 0 )</w:t>
            </w:r>
          </w:p>
        </w:tc>
      </w:tr>
      <w:tr>
        <w:tc>
          <w:tcPr>
            <w:tcW w:type="dxa" w:w="2800"/>
            <w:shd w:fill="F2F5F8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color w:val="1A2333"/>
                <w:sz w:val="18"/>
                <w:szCs w:val="18"/>
              </w:rPr>
              <w:t xml:space="preserve">Unique Customers</w:t>
            </w:r>
          </w:p>
        </w:tc>
        <w:tc>
          <w:tcPr>
            <w:tcW w:type="dxa" w:w="6550"/>
            <w:shd w:fill="F2F5F8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color w:val="1A2333"/>
                <w:sz w:val="18"/>
                <w:szCs w:val="18"/>
              </w:rPr>
              <w:t xml:space="preserve">DISTINCTCOUNT ( Fact_Orders[Customer Id] )</w:t>
            </w:r>
          </w:p>
        </w:tc>
      </w:tr>
      <w:tr>
        <w:tc>
          <w:tcPr>
            <w:tcW w:type="dxa" w:w="28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color w:val="1A2333"/>
                <w:sz w:val="18"/>
                <w:szCs w:val="18"/>
              </w:rPr>
              <w:t xml:space="preserve">Repeat Customers</w:t>
            </w:r>
          </w:p>
        </w:tc>
        <w:tc>
          <w:tcPr>
            <w:tcW w:type="dxa" w:w="655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color w:val="1A2333"/>
                <w:sz w:val="18"/>
                <w:szCs w:val="18"/>
              </w:rPr>
              <w:t xml:space="preserve">COUNTROWS of customers with Orders &gt; 1 (via SUMMARIZE)</w:t>
            </w:r>
          </w:p>
        </w:tc>
      </w:tr>
      <w:tr>
        <w:tc>
          <w:tcPr>
            <w:tcW w:type="dxa" w:w="2800"/>
            <w:shd w:fill="F2F5F8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color w:val="1A2333"/>
                <w:sz w:val="18"/>
                <w:szCs w:val="18"/>
              </w:rPr>
              <w:t xml:space="preserve">Repeat Purchase Rate</w:t>
            </w:r>
          </w:p>
        </w:tc>
        <w:tc>
          <w:tcPr>
            <w:tcW w:type="dxa" w:w="6550"/>
            <w:shd w:fill="F2F5F8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color w:val="1A2333"/>
                <w:sz w:val="18"/>
                <w:szCs w:val="18"/>
              </w:rPr>
              <w:t xml:space="preserve">DIVIDE ( [Repeat Customers], [Unique Customers] )</w:t>
            </w:r>
          </w:p>
        </w:tc>
      </w:tr>
      <w:tr>
        <w:tc>
          <w:tcPr>
            <w:tcW w:type="dxa" w:w="28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color w:val="1A2333"/>
                <w:sz w:val="18"/>
                <w:szCs w:val="18"/>
              </w:rPr>
              <w:t xml:space="preserve">Purchase Frequency</w:t>
            </w:r>
          </w:p>
        </w:tc>
        <w:tc>
          <w:tcPr>
            <w:tcW w:type="dxa" w:w="655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color w:val="1A2333"/>
                <w:sz w:val="18"/>
                <w:szCs w:val="18"/>
              </w:rPr>
              <w:t xml:space="preserve">DIVIDE ( [Total Orders], [Unique Customers] )</w:t>
            </w:r>
          </w:p>
        </w:tc>
      </w:tr>
      <w:tr>
        <w:tc>
          <w:tcPr>
            <w:tcW w:type="dxa" w:w="2800"/>
            <w:shd w:fill="F2F5F8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color w:val="1A2333"/>
                <w:sz w:val="18"/>
                <w:szCs w:val="18"/>
              </w:rPr>
              <w:t xml:space="preserve">Revenue Growth %</w:t>
            </w:r>
          </w:p>
        </w:tc>
        <w:tc>
          <w:tcPr>
            <w:tcW w:type="dxa" w:w="6550"/>
            <w:shd w:fill="F2F5F8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color w:val="1A2333"/>
                <w:sz w:val="18"/>
                <w:szCs w:val="18"/>
              </w:rPr>
              <w:t xml:space="preserve">DIVIDE ( [Total Revenue] - PrevRevenue, PrevRevenue ) via DATEADD</w:t>
            </w:r>
          </w:p>
        </w:tc>
      </w:tr>
      <w:tr>
        <w:tc>
          <w:tcPr>
            <w:tcW w:type="dxa" w:w="28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color w:val="1A2333"/>
                <w:sz w:val="18"/>
                <w:szCs w:val="18"/>
              </w:rPr>
              <w:t xml:space="preserve">CLV Proxy</w:t>
            </w:r>
          </w:p>
        </w:tc>
        <w:tc>
          <w:tcPr>
            <w:tcW w:type="dxa" w:w="655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color w:val="1A2333"/>
                <w:sz w:val="18"/>
                <w:szCs w:val="18"/>
              </w:rPr>
              <w:t xml:space="preserve">[AOV] * [Purchase Frequency]</w:t>
            </w:r>
          </w:p>
        </w:tc>
      </w:tr>
    </w:tbl>
    <w:p>
      <w:pPr>
        <w:pStyle w:val="Heading2"/>
        <w:spacing w:after="140" w:before="320"/>
      </w:pPr>
      <w:r>
        <w:rPr>
          <w:rFonts w:ascii="Calibri" w:cs="Calibri" w:eastAsia="Calibri" w:hAnsi="Calibri"/>
          <w:b/>
          <w:bCs/>
          <w:color w:val="0E8388"/>
          <w:sz w:val="24"/>
          <w:szCs w:val="24"/>
        </w:rPr>
        <w:t xml:space="preserve">Data Dictionary</w:t>
      </w:r>
    </w:p>
    <w:tbl>
      <w:tblPr>
        <w:tblW w:type="dxa" w:w="9350"/>
        <w:tblBorders>
          <w:top w:val="single" w:color="D9E0EA" w:sz="4"/>
          <w:left w:val="single" w:color="D9E0EA" w:sz="4"/>
          <w:bottom w:val="single" w:color="D9E0EA" w:sz="4"/>
          <w:right w:val="single" w:color="D9E0EA" w:sz="4"/>
          <w:insideH w:val="single" w:color="D9E0EA" w:sz="4"/>
          <w:insideV w:val="single" w:color="D9E0EA" w:sz="4"/>
        </w:tblBorders>
      </w:tblPr>
      <w:tblGrid>
        <w:gridCol w:w="2400"/>
        <w:gridCol w:w="3200"/>
        <w:gridCol w:w="3750"/>
      </w:tblGrid>
      <w:tr>
        <w:trPr>
          <w:tblHeader/>
        </w:trPr>
        <w:tc>
          <w:tcPr>
            <w:tcW w:type="dxa" w:w="2400"/>
            <w:shd w:fill="0F2A4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3200"/>
            <w:shd w:fill="0F2A4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Source Column</w:t>
            </w:r>
          </w:p>
        </w:tc>
        <w:tc>
          <w:tcPr>
            <w:tcW w:type="dxa" w:w="3750"/>
            <w:shd w:fill="0F2A4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4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color w:val="1A2333"/>
                <w:sz w:val="18"/>
                <w:szCs w:val="18"/>
              </w:rPr>
              <w:t xml:space="preserve">Order ID</w:t>
            </w:r>
          </w:p>
        </w:tc>
        <w:tc>
          <w:tcPr>
            <w:tcW w:type="dxa" w:w="32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color w:val="1A2333"/>
                <w:sz w:val="18"/>
                <w:szCs w:val="18"/>
              </w:rPr>
              <w:t xml:space="preserve">Order Number</w:t>
            </w:r>
          </w:p>
        </w:tc>
        <w:tc>
          <w:tcPr>
            <w:tcW w:type="dxa" w:w="375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color w:val="1A2333"/>
                <w:sz w:val="18"/>
                <w:szCs w:val="18"/>
              </w:rPr>
              <w:t xml:space="preserve">7,431 distinct values — one row per order</w:t>
            </w:r>
          </w:p>
        </w:tc>
      </w:tr>
      <w:tr>
        <w:tc>
          <w:tcPr>
            <w:tcW w:type="dxa" w:w="2400"/>
            <w:shd w:fill="F2F5F8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color w:val="1A2333"/>
                <w:sz w:val="18"/>
                <w:szCs w:val="18"/>
              </w:rPr>
              <w:t xml:space="preserve">Customer ID</w:t>
            </w:r>
          </w:p>
        </w:tc>
        <w:tc>
          <w:tcPr>
            <w:tcW w:type="dxa" w:w="3200"/>
            <w:shd w:fill="F2F5F8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color w:val="1A2333"/>
                <w:sz w:val="18"/>
                <w:szCs w:val="18"/>
              </w:rPr>
              <w:t xml:space="preserve">Customer Id</w:t>
            </w:r>
          </w:p>
        </w:tc>
        <w:tc>
          <w:tcPr>
            <w:tcW w:type="dxa" w:w="3750"/>
            <w:shd w:fill="F2F5F8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color w:val="1A2333"/>
                <w:sz w:val="18"/>
                <w:szCs w:val="18"/>
              </w:rPr>
              <w:t xml:space="preserve">4,431 distinct customers</w:t>
            </w:r>
          </w:p>
        </w:tc>
      </w:tr>
      <w:tr>
        <w:tc>
          <w:tcPr>
            <w:tcW w:type="dxa" w:w="24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color w:val="1A2333"/>
                <w:sz w:val="18"/>
                <w:szCs w:val="18"/>
              </w:rPr>
              <w:t xml:space="preserve">Order Date/Time</w:t>
            </w:r>
          </w:p>
        </w:tc>
        <w:tc>
          <w:tcPr>
            <w:tcW w:type="dxa" w:w="32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color w:val="1A2333"/>
                <w:sz w:val="18"/>
                <w:szCs w:val="18"/>
              </w:rPr>
              <w:t xml:space="preserve">Invoice Date</w:t>
            </w:r>
          </w:p>
        </w:tc>
        <w:tc>
          <w:tcPr>
            <w:tcW w:type="dxa" w:w="375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color w:val="1A2333"/>
                <w:sz w:val="18"/>
                <w:szCs w:val="18"/>
              </w:rPr>
              <w:t xml:space="preserve">18–24 March 2025</w:t>
            </w:r>
          </w:p>
        </w:tc>
      </w:tr>
      <w:tr>
        <w:tc>
          <w:tcPr>
            <w:tcW w:type="dxa" w:w="2400"/>
            <w:shd w:fill="F2F5F8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color w:val="1A2333"/>
                <w:sz w:val="18"/>
                <w:szCs w:val="18"/>
              </w:rPr>
              <w:t xml:space="preserve">Category</w:t>
            </w:r>
          </w:p>
        </w:tc>
        <w:tc>
          <w:tcPr>
            <w:tcW w:type="dxa" w:w="3200"/>
            <w:shd w:fill="F2F5F8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color w:val="1A2333"/>
                <w:sz w:val="18"/>
                <w:szCs w:val="18"/>
              </w:rPr>
              <w:t xml:space="preserve">Product Type</w:t>
            </w:r>
          </w:p>
        </w:tc>
        <w:tc>
          <w:tcPr>
            <w:tcW w:type="dxa" w:w="3750"/>
            <w:shd w:fill="F2F5F8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color w:val="1A2333"/>
                <w:sz w:val="18"/>
                <w:szCs w:val="18"/>
              </w:rPr>
              <w:t xml:space="preserve">14 distinct product categories</w:t>
            </w:r>
          </w:p>
        </w:tc>
      </w:tr>
      <w:tr>
        <w:tc>
          <w:tcPr>
            <w:tcW w:type="dxa" w:w="24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color w:val="1A2333"/>
                <w:sz w:val="18"/>
                <w:szCs w:val="18"/>
              </w:rPr>
              <w:t xml:space="preserve">Revenue (USD)</w:t>
            </w:r>
          </w:p>
        </w:tc>
        <w:tc>
          <w:tcPr>
            <w:tcW w:type="dxa" w:w="32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color w:val="1A2333"/>
                <w:sz w:val="18"/>
                <w:szCs w:val="18"/>
              </w:rPr>
              <w:t xml:space="preserve">Total Price Usd</w:t>
            </w:r>
          </w:p>
        </w:tc>
        <w:tc>
          <w:tcPr>
            <w:tcW w:type="dxa" w:w="375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color w:val="1A2333"/>
                <w:sz w:val="18"/>
                <w:szCs w:val="18"/>
              </w:rPr>
              <w:t xml:space="preserve">Post-tax order value; sums to $4,598,960.87</w:t>
            </w:r>
          </w:p>
        </w:tc>
      </w:tr>
      <w:tr>
        <w:tc>
          <w:tcPr>
            <w:tcW w:type="dxa" w:w="2400"/>
            <w:shd w:fill="F2F5F8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color w:val="1A2333"/>
                <w:sz w:val="18"/>
                <w:szCs w:val="18"/>
              </w:rPr>
              <w:t xml:space="preserve">Geography</w:t>
            </w:r>
          </w:p>
        </w:tc>
        <w:tc>
          <w:tcPr>
            <w:tcW w:type="dxa" w:w="3200"/>
            <w:shd w:fill="F2F5F8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color w:val="1A2333"/>
                <w:sz w:val="18"/>
                <w:szCs w:val="18"/>
              </w:rPr>
              <w:t xml:space="preserve">CITY, Billing Address Province</w:t>
            </w:r>
          </w:p>
        </w:tc>
        <w:tc>
          <w:tcPr>
            <w:tcW w:type="dxa" w:w="3750"/>
            <w:shd w:fill="F2F5F8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color w:val="1A2333"/>
                <w:sz w:val="18"/>
                <w:szCs w:val="18"/>
              </w:rPr>
              <w:t xml:space="preserve">49 U.S. states represented</w:t>
            </w:r>
          </w:p>
        </w:tc>
      </w:tr>
    </w:tbl>
    <w:p>
      <w:pPr>
        <w:pStyle w:val="Heading2"/>
        <w:spacing w:after="140" w:before="320"/>
      </w:pPr>
      <w:r>
        <w:rPr>
          <w:rFonts w:ascii="Calibri" w:cs="Calibri" w:eastAsia="Calibri" w:hAnsi="Calibri"/>
          <w:b/>
          <w:bCs/>
          <w:color w:val="0E8388"/>
          <w:sz w:val="24"/>
          <w:szCs w:val="24"/>
        </w:rPr>
        <w:t xml:space="preserve">Scope &amp; Limitations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rFonts w:ascii="Calibri" w:cs="Calibri" w:eastAsia="Calibri" w:hAnsi="Calibri"/>
          <w:color w:val="1A2333"/>
          <w:sz w:val="21"/>
          <w:szCs w:val="21"/>
        </w:rPr>
        <w:t xml:space="preserve">The underlying export covers a single 7-day window (18–24 March 2025); month-over-month growth, seasonal trend, and true annualised CLV require a longer historical load into the same model.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rFonts w:ascii="Calibri" w:cs="Calibri" w:eastAsia="Calibri" w:hAnsi="Calibri"/>
          <w:color w:val="1A2333"/>
          <w:sz w:val="21"/>
          <w:szCs w:val="21"/>
        </w:rPr>
        <w:t xml:space="preserve">"CLV Proxy" and the repurchase-gap statistic are within-window approximations, clearly labelled as such throughout this report, and are designed to be replaced automatically by true lifetime figures once more data is available.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rFonts w:ascii="Calibri" w:cs="Calibri" w:eastAsia="Calibri" w:hAnsi="Calibri"/>
          <w:color w:val="1A2333"/>
          <w:sz w:val="21"/>
          <w:szCs w:val="21"/>
        </w:rPr>
        <w:t xml:space="preserve">All figures were computed directly from shopify_data.csv and cross-checked against the KPI cards produced by the accompanying Python/Streamlit dashboard (Wix_Shopify.py) for consistency.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5B647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9E0EA" w:sz="4" w:space="6"/>
      </w:pBdr>
      <w:tabs>
        <w:tab w:val="right" w:pos="9026"/>
      </w:tabs>
    </w:pPr>
    <w:r>
      <w:rPr>
        <w:rFonts w:ascii="Calibri" w:cs="Calibri" w:eastAsia="Calibri" w:hAnsi="Calibri"/>
        <w:color w:val="5B6478"/>
        <w:sz w:val="16"/>
        <w:szCs w:val="16"/>
      </w:rPr>
      <w:t xml:space="preserve">Shopify Sales Intelligence — BI Project Report</w:t>
    </w:r>
    <w:r>
      <w:rPr>
        <w:rFonts w:ascii="Calibri" w:cs="Calibri" w:eastAsia="Calibri" w:hAnsi="Calibri"/>
        <w:color w:val="5B6478"/>
        <w:sz w:val="16"/>
        <w:szCs w:val="16"/>
      </w:rPr>
      <w:t xml:space="preserve">	P Suman Sangeet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2333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155015f6998e9d3b36bba98285bac6053ceef4f3.png"/><Relationship Id="rId10" Type="http://schemas.openxmlformats.org/officeDocument/2006/relationships/image" Target="media/1575932643954835317ecf65b91c07f8743e7d6f.png"/><Relationship Id="rId11" Type="http://schemas.openxmlformats.org/officeDocument/2006/relationships/image" Target="media/917a57ffa744c65e580386819f9268d18b0163e7.png"/><Relationship Id="rId12" Type="http://schemas.openxmlformats.org/officeDocument/2006/relationships/image" Target="media/7cde450051abdd30b978532e617ac2265bea27b1.png"/><Relationship Id="rId13" Type="http://schemas.openxmlformats.org/officeDocument/2006/relationships/image" Target="media/693722d48896335894d2b483bdac8c9a323e30e7.png"/><Relationship Id="rId14" Type="http://schemas.openxmlformats.org/officeDocument/2006/relationships/image" Target="media/8dbc8cbe53a72977e877c1cb2a110b00d36b7056.png"/><Relationship Id="rId15" Type="http://schemas.openxmlformats.org/officeDocument/2006/relationships/image" Target="media/f8882c69789e3177d873805bc541f7fd2f38fb46.png"/><Relationship Id="rId16" Type="http://schemas.openxmlformats.org/officeDocument/2006/relationships/image" Target="media/d08486acf7ed6b5412cf33def911647c77339616.png"/><Relationship Id="rId1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2026-08-15T14:35:07.556Z</dcterms:created>
  <dcterms:modified xsi:type="dcterms:W3CDTF">2026-08-15T14:35:07.557Z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