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5BCF4" w14:textId="595E06AC" w:rsidR="00C638A7" w:rsidRPr="001C401B" w:rsidRDefault="00645103" w:rsidP="00C22203">
      <w:pPr>
        <w:pStyle w:val="Heading1"/>
        <w:numPr>
          <w:ilvl w:val="0"/>
          <w:numId w:val="2"/>
        </w:numPr>
        <w:jc w:val="both"/>
        <w:rPr>
          <w:rFonts w:asciiTheme="minorHAnsi" w:hAnsiTheme="minorHAnsi" w:cstheme="minorHAnsi"/>
        </w:rPr>
      </w:pPr>
      <w:r w:rsidRPr="001C401B">
        <w:rPr>
          <w:rFonts w:asciiTheme="minorHAnsi" w:hAnsiTheme="minorHAnsi" w:cstheme="minorHAnsi"/>
        </w:rPr>
        <w:t>Introduction</w:t>
      </w:r>
    </w:p>
    <w:p w14:paraId="079F0190" w14:textId="161530DE" w:rsidR="004705B9" w:rsidRPr="007C0F61" w:rsidRDefault="004705B9" w:rsidP="000F3C4E">
      <w:pPr>
        <w:pStyle w:val="NoSpacing"/>
        <w:jc w:val="both"/>
        <w:rPr>
          <w:rFonts w:cstheme="minorHAnsi"/>
          <w:sz w:val="20"/>
          <w:szCs w:val="20"/>
        </w:rPr>
      </w:pPr>
    </w:p>
    <w:p w14:paraId="59E42217" w14:textId="76991A9B" w:rsidR="00870E45" w:rsidRPr="007C0F61" w:rsidRDefault="003C1F24" w:rsidP="000F3C4E">
      <w:pPr>
        <w:pStyle w:val="NoSpacing"/>
        <w:jc w:val="both"/>
        <w:rPr>
          <w:rFonts w:cstheme="minorHAnsi"/>
          <w:sz w:val="20"/>
          <w:szCs w:val="20"/>
        </w:rPr>
      </w:pPr>
      <w:r w:rsidRPr="007C0F61">
        <w:rPr>
          <w:rFonts w:cstheme="minorHAnsi"/>
          <w:sz w:val="20"/>
          <w:szCs w:val="20"/>
        </w:rPr>
        <w:t>The American dream of h</w:t>
      </w:r>
      <w:r w:rsidR="00F925AC" w:rsidRPr="007C0F61">
        <w:rPr>
          <w:rFonts w:cstheme="minorHAnsi"/>
          <w:sz w:val="20"/>
          <w:szCs w:val="20"/>
        </w:rPr>
        <w:t xml:space="preserve">omeownership is not only the key to build a </w:t>
      </w:r>
      <w:r w:rsidRPr="007C0F61">
        <w:rPr>
          <w:rFonts w:cstheme="minorHAnsi"/>
          <w:sz w:val="20"/>
          <w:szCs w:val="20"/>
        </w:rPr>
        <w:t>stable platform for one’s family and wealth</w:t>
      </w:r>
      <w:r w:rsidR="00146AD9" w:rsidRPr="007C0F61">
        <w:rPr>
          <w:rFonts w:cstheme="minorHAnsi"/>
          <w:sz w:val="20"/>
          <w:szCs w:val="20"/>
        </w:rPr>
        <w:t xml:space="preserve"> accumulation</w:t>
      </w:r>
      <w:r w:rsidRPr="007C0F61">
        <w:rPr>
          <w:rFonts w:cstheme="minorHAnsi"/>
          <w:sz w:val="20"/>
          <w:szCs w:val="20"/>
        </w:rPr>
        <w:t xml:space="preserve"> </w:t>
      </w:r>
      <w:r w:rsidR="00F925AC" w:rsidRPr="007C0F61">
        <w:rPr>
          <w:rFonts w:cstheme="minorHAnsi"/>
          <w:sz w:val="20"/>
          <w:szCs w:val="20"/>
        </w:rPr>
        <w:t>but also a</w:t>
      </w:r>
      <w:r w:rsidRPr="007C0F61">
        <w:rPr>
          <w:rFonts w:cstheme="minorHAnsi"/>
          <w:sz w:val="20"/>
          <w:szCs w:val="20"/>
        </w:rPr>
        <w:t xml:space="preserve"> core element of </w:t>
      </w:r>
      <w:r w:rsidR="00787057" w:rsidRPr="007C0F61">
        <w:rPr>
          <w:rFonts w:cstheme="minorHAnsi"/>
          <w:sz w:val="20"/>
          <w:szCs w:val="20"/>
        </w:rPr>
        <w:t xml:space="preserve">building connected communities and a stronger economy. </w:t>
      </w:r>
      <w:r w:rsidR="002562FF" w:rsidRPr="007C0F61">
        <w:rPr>
          <w:rFonts w:cstheme="minorHAnsi"/>
          <w:sz w:val="20"/>
          <w:szCs w:val="20"/>
        </w:rPr>
        <w:t xml:space="preserve">Homeownership entails responsible individuals, enables more control over lives and increases </w:t>
      </w:r>
      <w:r w:rsidR="00282FF8">
        <w:rPr>
          <w:rFonts w:cstheme="minorHAnsi"/>
          <w:sz w:val="20"/>
          <w:szCs w:val="20"/>
        </w:rPr>
        <w:t xml:space="preserve">a </w:t>
      </w:r>
      <w:r w:rsidR="002562FF" w:rsidRPr="007C0F61">
        <w:rPr>
          <w:rFonts w:cstheme="minorHAnsi"/>
          <w:sz w:val="20"/>
          <w:szCs w:val="20"/>
        </w:rPr>
        <w:t xml:space="preserve">sense of well-being and civic involvement (volunteer work and community engagements). </w:t>
      </w:r>
      <w:r w:rsidR="006C1AB3" w:rsidRPr="007C0F61">
        <w:rPr>
          <w:rFonts w:cstheme="minorHAnsi"/>
          <w:sz w:val="20"/>
          <w:szCs w:val="20"/>
        </w:rPr>
        <w:t>Studies also suggest a lower crime rate and drug usage among homeowners.</w:t>
      </w:r>
      <w:r w:rsidR="004B3CE5" w:rsidRPr="007C0F61">
        <w:rPr>
          <w:rFonts w:cstheme="minorHAnsi"/>
          <w:sz w:val="20"/>
          <w:szCs w:val="20"/>
        </w:rPr>
        <w:t xml:space="preserve"> Successful mortgage approval is more often a primary key </w:t>
      </w:r>
      <w:r w:rsidR="00282FF8">
        <w:rPr>
          <w:rFonts w:cstheme="minorHAnsi"/>
          <w:sz w:val="20"/>
          <w:szCs w:val="20"/>
        </w:rPr>
        <w:t>to</w:t>
      </w:r>
      <w:r w:rsidR="004B3CE5" w:rsidRPr="007C0F61">
        <w:rPr>
          <w:rFonts w:cstheme="minorHAnsi"/>
          <w:sz w:val="20"/>
          <w:szCs w:val="20"/>
        </w:rPr>
        <w:t xml:space="preserve"> an individual’s ability to buy a home</w:t>
      </w:r>
      <w:r w:rsidR="007E5CF2" w:rsidRPr="007C0F61">
        <w:rPr>
          <w:rFonts w:cstheme="minorHAnsi"/>
          <w:sz w:val="20"/>
          <w:szCs w:val="20"/>
        </w:rPr>
        <w:t>.</w:t>
      </w:r>
    </w:p>
    <w:p w14:paraId="1DEACDD5" w14:textId="2B85CE26" w:rsidR="00ED20CE" w:rsidRPr="007C0F61" w:rsidRDefault="00ED20CE" w:rsidP="000F3C4E">
      <w:pPr>
        <w:pStyle w:val="NoSpacing"/>
        <w:jc w:val="both"/>
        <w:rPr>
          <w:rFonts w:cstheme="minorHAnsi"/>
          <w:sz w:val="20"/>
          <w:szCs w:val="20"/>
        </w:rPr>
      </w:pPr>
    </w:p>
    <w:p w14:paraId="2DA4E2FC" w14:textId="77636C90" w:rsidR="006E4E9E" w:rsidRPr="007C0F61" w:rsidRDefault="00ED20CE" w:rsidP="000F3C4E">
      <w:pPr>
        <w:pStyle w:val="NoSpacing"/>
        <w:jc w:val="both"/>
        <w:rPr>
          <w:rFonts w:cstheme="minorHAnsi"/>
          <w:sz w:val="20"/>
          <w:szCs w:val="20"/>
        </w:rPr>
      </w:pPr>
      <w:r w:rsidRPr="007C0F61">
        <w:rPr>
          <w:rFonts w:cstheme="minorHAnsi"/>
          <w:sz w:val="20"/>
          <w:szCs w:val="20"/>
        </w:rPr>
        <w:t>Although mortgage lending decision</w:t>
      </w:r>
      <w:r w:rsidR="00486A0A">
        <w:rPr>
          <w:rFonts w:cstheme="minorHAnsi"/>
          <w:sz w:val="20"/>
          <w:szCs w:val="20"/>
        </w:rPr>
        <w:t>s</w:t>
      </w:r>
      <w:r w:rsidRPr="007C0F61">
        <w:rPr>
          <w:rFonts w:cstheme="minorHAnsi"/>
          <w:sz w:val="20"/>
          <w:szCs w:val="20"/>
        </w:rPr>
        <w:t xml:space="preserve"> should be primarily based on applicant’s worthiness to make the repayments and on the sufficiency that underpinning collateral </w:t>
      </w:r>
      <w:r w:rsidR="00F6226A" w:rsidRPr="007C0F61">
        <w:rPr>
          <w:rFonts w:cstheme="minorHAnsi"/>
          <w:sz w:val="20"/>
          <w:szCs w:val="20"/>
        </w:rPr>
        <w:t>is</w:t>
      </w:r>
      <w:r w:rsidRPr="007C0F61">
        <w:rPr>
          <w:rFonts w:cstheme="minorHAnsi"/>
          <w:sz w:val="20"/>
          <w:szCs w:val="20"/>
        </w:rPr>
        <w:t xml:space="preserve"> grant</w:t>
      </w:r>
      <w:r w:rsidR="00F6226A" w:rsidRPr="007C0F61">
        <w:rPr>
          <w:rFonts w:cstheme="minorHAnsi"/>
          <w:sz w:val="20"/>
          <w:szCs w:val="20"/>
        </w:rPr>
        <w:t>ing</w:t>
      </w:r>
      <w:r w:rsidRPr="007C0F61">
        <w:rPr>
          <w:rFonts w:cstheme="minorHAnsi"/>
          <w:sz w:val="20"/>
          <w:szCs w:val="20"/>
        </w:rPr>
        <w:t xml:space="preserve"> enough protection to the mortgage lender that </w:t>
      </w:r>
      <w:r w:rsidR="006E4E9E" w:rsidRPr="007C0F61">
        <w:rPr>
          <w:rFonts w:cstheme="minorHAnsi"/>
          <w:sz w:val="20"/>
          <w:szCs w:val="20"/>
        </w:rPr>
        <w:t xml:space="preserve">makes the risk viable, not all Americans experience the same access and equal opportunities to mortgages. According to the US Census Bureau of Housing Vacancy and Homeownership, </w:t>
      </w:r>
      <w:r w:rsidR="00184D55" w:rsidRPr="007C0F61">
        <w:rPr>
          <w:rFonts w:cstheme="minorHAnsi"/>
          <w:sz w:val="20"/>
          <w:szCs w:val="20"/>
        </w:rPr>
        <w:t xml:space="preserve">in </w:t>
      </w:r>
      <w:r w:rsidR="00B07FBA">
        <w:rPr>
          <w:rFonts w:cstheme="minorHAnsi"/>
          <w:sz w:val="20"/>
          <w:szCs w:val="20"/>
        </w:rPr>
        <w:t>1990 overall homeownership rate</w:t>
      </w:r>
      <w:r w:rsidR="00184D55" w:rsidRPr="007C0F61">
        <w:rPr>
          <w:rFonts w:cstheme="minorHAnsi"/>
          <w:sz w:val="20"/>
          <w:szCs w:val="20"/>
        </w:rPr>
        <w:t xml:space="preserve"> was 64.2% while </w:t>
      </w:r>
      <w:r w:rsidR="006A3C6A" w:rsidRPr="007C0F61">
        <w:rPr>
          <w:rFonts w:cstheme="minorHAnsi"/>
          <w:sz w:val="20"/>
          <w:szCs w:val="20"/>
        </w:rPr>
        <w:t>the same</w:t>
      </w:r>
      <w:r w:rsidR="00184D55" w:rsidRPr="007C0F61">
        <w:rPr>
          <w:rFonts w:cstheme="minorHAnsi"/>
          <w:sz w:val="20"/>
          <w:szCs w:val="20"/>
        </w:rPr>
        <w:t xml:space="preserve"> was </w:t>
      </w:r>
      <w:r w:rsidR="006A3C6A" w:rsidRPr="007C0F61">
        <w:rPr>
          <w:rFonts w:cstheme="minorHAnsi"/>
          <w:color w:val="000000"/>
          <w:sz w:val="20"/>
          <w:szCs w:val="20"/>
        </w:rPr>
        <w:t>75.2%, 43.4% and 42.4% for Non-Hispanic White</w:t>
      </w:r>
      <w:r w:rsidR="007C51E2">
        <w:rPr>
          <w:rFonts w:cstheme="minorHAnsi"/>
          <w:color w:val="000000"/>
          <w:sz w:val="20"/>
          <w:szCs w:val="20"/>
        </w:rPr>
        <w:t xml:space="preserve"> </w:t>
      </w:r>
      <w:r w:rsidR="007C51E2" w:rsidRPr="007C0F61">
        <w:rPr>
          <w:rFonts w:cstheme="minorHAnsi"/>
          <w:sz w:val="20"/>
          <w:szCs w:val="20"/>
        </w:rPr>
        <w:t>(</w:t>
      </w:r>
      <w:r w:rsidR="007C51E2" w:rsidRPr="007C0F61">
        <w:rPr>
          <w:rFonts w:cstheme="minorHAnsi"/>
          <w:b/>
          <w:sz w:val="20"/>
          <w:szCs w:val="20"/>
        </w:rPr>
        <w:t>White</w:t>
      </w:r>
      <w:r w:rsidR="007C51E2" w:rsidRPr="007C0F61">
        <w:rPr>
          <w:rFonts w:cstheme="minorHAnsi"/>
          <w:sz w:val="20"/>
          <w:szCs w:val="20"/>
        </w:rPr>
        <w:t>)</w:t>
      </w:r>
      <w:r w:rsidR="006A3C6A" w:rsidRPr="007C0F61">
        <w:rPr>
          <w:rFonts w:cstheme="minorHAnsi"/>
          <w:color w:val="000000"/>
          <w:sz w:val="20"/>
          <w:szCs w:val="20"/>
        </w:rPr>
        <w:t xml:space="preserve">, </w:t>
      </w:r>
      <w:r w:rsidR="00653F71" w:rsidRPr="007C0F61">
        <w:rPr>
          <w:rFonts w:cstheme="minorHAnsi"/>
          <w:color w:val="000000"/>
          <w:sz w:val="20"/>
          <w:szCs w:val="20"/>
        </w:rPr>
        <w:t>Non-Hispanic Black</w:t>
      </w:r>
      <w:r w:rsidR="007C51E2">
        <w:rPr>
          <w:rFonts w:cstheme="minorHAnsi"/>
          <w:color w:val="000000"/>
          <w:sz w:val="20"/>
          <w:szCs w:val="20"/>
        </w:rPr>
        <w:t xml:space="preserve"> (</w:t>
      </w:r>
      <w:r w:rsidR="007C51E2" w:rsidRPr="007C51E2">
        <w:rPr>
          <w:rFonts w:cstheme="minorHAnsi"/>
          <w:b/>
          <w:color w:val="000000"/>
          <w:sz w:val="20"/>
          <w:szCs w:val="20"/>
        </w:rPr>
        <w:t>Black</w:t>
      </w:r>
      <w:r w:rsidR="007C51E2">
        <w:rPr>
          <w:rFonts w:cstheme="minorHAnsi"/>
          <w:color w:val="000000"/>
          <w:sz w:val="20"/>
          <w:szCs w:val="20"/>
        </w:rPr>
        <w:t>)</w:t>
      </w:r>
      <w:r w:rsidR="00653F71" w:rsidRPr="007C0F61">
        <w:rPr>
          <w:rFonts w:cstheme="minorHAnsi"/>
          <w:color w:val="000000"/>
          <w:sz w:val="20"/>
          <w:szCs w:val="20"/>
        </w:rPr>
        <w:t xml:space="preserve"> and Hispanic</w:t>
      </w:r>
      <w:r w:rsidR="005C4FCF">
        <w:rPr>
          <w:rFonts w:cstheme="minorHAnsi"/>
          <w:color w:val="000000"/>
          <w:sz w:val="20"/>
          <w:szCs w:val="20"/>
        </w:rPr>
        <w:t xml:space="preserve"> individuals</w:t>
      </w:r>
      <w:r w:rsidR="00653F71" w:rsidRPr="007C0F61">
        <w:rPr>
          <w:rFonts w:cstheme="minorHAnsi"/>
          <w:color w:val="000000"/>
          <w:sz w:val="20"/>
          <w:szCs w:val="20"/>
        </w:rPr>
        <w:t xml:space="preserve"> </w:t>
      </w:r>
      <w:proofErr w:type="gramStart"/>
      <w:r w:rsidR="00653F71" w:rsidRPr="007C0F61">
        <w:rPr>
          <w:rFonts w:cstheme="minorHAnsi"/>
          <w:color w:val="000000"/>
          <w:sz w:val="20"/>
          <w:szCs w:val="20"/>
        </w:rPr>
        <w:t>respectively</w:t>
      </w:r>
      <w:r w:rsidR="006A3C6A" w:rsidRPr="007C0F61">
        <w:rPr>
          <w:rFonts w:cstheme="minorHAnsi"/>
          <w:sz w:val="20"/>
          <w:szCs w:val="20"/>
        </w:rPr>
        <w:t>[</w:t>
      </w:r>
      <w:proofErr w:type="gramEnd"/>
      <w:r w:rsidR="006A3C6A" w:rsidRPr="007C0F61">
        <w:rPr>
          <w:rFonts w:cstheme="minorHAnsi"/>
          <w:sz w:val="20"/>
          <w:szCs w:val="20"/>
        </w:rPr>
        <w:t>1]</w:t>
      </w:r>
      <w:r w:rsidR="00653F71" w:rsidRPr="007C0F61">
        <w:rPr>
          <w:rFonts w:cstheme="minorHAnsi"/>
          <w:sz w:val="20"/>
          <w:szCs w:val="20"/>
        </w:rPr>
        <w:t>.</w:t>
      </w:r>
    </w:p>
    <w:p w14:paraId="34179478" w14:textId="4A8C5BEB" w:rsidR="006E4E9E" w:rsidRPr="007C0F61" w:rsidRDefault="006E4E9E" w:rsidP="006E4E9E">
      <w:pPr>
        <w:pStyle w:val="CommentText"/>
        <w:jc w:val="both"/>
        <w:rPr>
          <w:rFonts w:asciiTheme="minorHAnsi" w:eastAsiaTheme="minorHAnsi" w:hAnsiTheme="minorHAnsi" w:cstheme="minorHAnsi"/>
          <w:lang w:eastAsia="en-US"/>
        </w:rPr>
      </w:pPr>
    </w:p>
    <w:p w14:paraId="73B402E5" w14:textId="3B2DC7CC" w:rsidR="0073607D" w:rsidRPr="007C0F61" w:rsidRDefault="00E41A6D" w:rsidP="0073607D">
      <w:pPr>
        <w:pStyle w:val="CommentText"/>
        <w:jc w:val="both"/>
        <w:rPr>
          <w:rFonts w:asciiTheme="minorHAnsi" w:eastAsiaTheme="minorHAnsi" w:hAnsiTheme="minorHAnsi" w:cstheme="minorHAnsi"/>
          <w:lang w:eastAsia="en-US"/>
        </w:rPr>
      </w:pPr>
      <w:r w:rsidRPr="007C0F61">
        <w:rPr>
          <w:rFonts w:asciiTheme="minorHAnsi" w:eastAsiaTheme="minorHAnsi" w:hAnsiTheme="minorHAnsi" w:cstheme="minorHAnsi"/>
          <w:lang w:eastAsia="en-US"/>
        </w:rPr>
        <w:t>One of t</w:t>
      </w:r>
      <w:r w:rsidR="003F38B6" w:rsidRPr="007C0F61">
        <w:rPr>
          <w:rFonts w:asciiTheme="minorHAnsi" w:eastAsiaTheme="minorHAnsi" w:hAnsiTheme="minorHAnsi" w:cstheme="minorHAnsi"/>
          <w:lang w:eastAsia="en-US"/>
        </w:rPr>
        <w:t xml:space="preserve">he primary reason behind this divide </w:t>
      </w:r>
      <w:r w:rsidR="005E42D6" w:rsidRPr="007C0F61">
        <w:rPr>
          <w:rFonts w:asciiTheme="minorHAnsi" w:eastAsiaTheme="minorHAnsi" w:hAnsiTheme="minorHAnsi" w:cstheme="minorHAnsi"/>
          <w:lang w:eastAsia="en-US"/>
        </w:rPr>
        <w:t xml:space="preserve">among </w:t>
      </w:r>
      <w:r w:rsidRPr="007C0F61">
        <w:rPr>
          <w:rFonts w:asciiTheme="minorHAnsi" w:eastAsiaTheme="minorHAnsi" w:hAnsiTheme="minorHAnsi" w:cstheme="minorHAnsi"/>
          <w:lang w:eastAsia="en-US"/>
        </w:rPr>
        <w:t xml:space="preserve">ownership rates is the racial discrimination in mortgage lending decisions. Multiple laws are developed to curb this racial disparity that deprives minority races </w:t>
      </w:r>
      <w:r w:rsidR="00282FF8">
        <w:rPr>
          <w:rFonts w:asciiTheme="minorHAnsi" w:eastAsiaTheme="minorHAnsi" w:hAnsiTheme="minorHAnsi" w:cstheme="minorHAnsi"/>
          <w:lang w:eastAsia="en-US"/>
        </w:rPr>
        <w:t>of</w:t>
      </w:r>
      <w:r w:rsidRPr="007C0F61">
        <w:rPr>
          <w:rFonts w:asciiTheme="minorHAnsi" w:eastAsiaTheme="minorHAnsi" w:hAnsiTheme="minorHAnsi" w:cstheme="minorHAnsi"/>
          <w:lang w:eastAsia="en-US"/>
        </w:rPr>
        <w:t xml:space="preserve"> an opportunity to become a cohesive part of America, however</w:t>
      </w:r>
      <w:r w:rsidR="009200FE">
        <w:rPr>
          <w:rFonts w:asciiTheme="minorHAnsi" w:eastAsiaTheme="minorHAnsi" w:hAnsiTheme="minorHAnsi" w:cstheme="minorHAnsi"/>
          <w:lang w:eastAsia="en-US"/>
        </w:rPr>
        <w:t>,</w:t>
      </w:r>
      <w:r w:rsidRPr="007C0F61">
        <w:rPr>
          <w:rFonts w:asciiTheme="minorHAnsi" w:eastAsiaTheme="minorHAnsi" w:hAnsiTheme="minorHAnsi" w:cstheme="minorHAnsi"/>
          <w:lang w:eastAsia="en-US"/>
        </w:rPr>
        <w:t xml:space="preserve"> the divide continues to </w:t>
      </w:r>
      <w:proofErr w:type="gramStart"/>
      <w:r w:rsidRPr="007C0F61">
        <w:rPr>
          <w:rFonts w:asciiTheme="minorHAnsi" w:eastAsiaTheme="minorHAnsi" w:hAnsiTheme="minorHAnsi" w:cstheme="minorHAnsi"/>
          <w:lang w:eastAsia="en-US"/>
        </w:rPr>
        <w:t>exists</w:t>
      </w:r>
      <w:proofErr w:type="gramEnd"/>
      <w:r w:rsidRPr="007C0F61">
        <w:rPr>
          <w:rFonts w:asciiTheme="minorHAnsi" w:eastAsiaTheme="minorHAnsi" w:hAnsiTheme="minorHAnsi" w:cstheme="minorHAnsi"/>
          <w:lang w:eastAsia="en-US"/>
        </w:rPr>
        <w:t>.</w:t>
      </w:r>
      <w:r w:rsidR="0073607D" w:rsidRPr="007C0F61">
        <w:rPr>
          <w:rFonts w:asciiTheme="minorHAnsi" w:eastAsiaTheme="minorHAnsi" w:hAnsiTheme="minorHAnsi" w:cstheme="minorHAnsi"/>
          <w:lang w:eastAsia="en-US"/>
        </w:rPr>
        <w:t xml:space="preserve"> </w:t>
      </w:r>
      <w:r w:rsidRPr="007C0F61">
        <w:rPr>
          <w:rFonts w:asciiTheme="minorHAnsi" w:eastAsiaTheme="minorHAnsi" w:hAnsiTheme="minorHAnsi" w:cstheme="minorHAnsi"/>
          <w:lang w:eastAsia="en-US"/>
        </w:rPr>
        <w:t xml:space="preserve">Therefore, it is </w:t>
      </w:r>
      <w:r w:rsidR="0073607D" w:rsidRPr="007C0F61">
        <w:rPr>
          <w:rFonts w:asciiTheme="minorHAnsi" w:eastAsiaTheme="minorHAnsi" w:hAnsiTheme="minorHAnsi" w:cstheme="minorHAnsi"/>
          <w:lang w:eastAsia="en-US"/>
        </w:rPr>
        <w:t>imperative</w:t>
      </w:r>
      <w:r w:rsidRPr="007C0F61">
        <w:rPr>
          <w:rFonts w:asciiTheme="minorHAnsi" w:eastAsiaTheme="minorHAnsi" w:hAnsiTheme="minorHAnsi" w:cstheme="minorHAnsi"/>
          <w:lang w:eastAsia="en-US"/>
        </w:rPr>
        <w:t xml:space="preserve"> to understand/study this racial divide in mortgage lending practices.  </w:t>
      </w:r>
    </w:p>
    <w:p w14:paraId="49635EDC" w14:textId="043B0C12" w:rsidR="0073607D" w:rsidRPr="007C0F61" w:rsidRDefault="0073607D" w:rsidP="0073607D">
      <w:pPr>
        <w:pStyle w:val="CommentText"/>
        <w:jc w:val="both"/>
        <w:rPr>
          <w:rFonts w:asciiTheme="minorHAnsi" w:eastAsiaTheme="minorHAnsi" w:hAnsiTheme="minorHAnsi" w:cstheme="minorHAnsi"/>
          <w:lang w:eastAsia="en-US"/>
        </w:rPr>
      </w:pPr>
    </w:p>
    <w:p w14:paraId="684AC276" w14:textId="522AD882" w:rsidR="0073607D" w:rsidRPr="007C0F61" w:rsidRDefault="0073607D" w:rsidP="0073607D">
      <w:pPr>
        <w:pStyle w:val="CommentText"/>
        <w:jc w:val="both"/>
        <w:rPr>
          <w:rFonts w:asciiTheme="minorHAnsi" w:hAnsiTheme="minorHAnsi" w:cstheme="minorHAnsi"/>
        </w:rPr>
      </w:pPr>
      <w:r w:rsidRPr="007C0F61">
        <w:rPr>
          <w:rFonts w:asciiTheme="minorHAnsi" w:eastAsiaTheme="minorHAnsi" w:hAnsiTheme="minorHAnsi" w:cstheme="minorHAnsi"/>
          <w:lang w:eastAsia="en-US"/>
        </w:rPr>
        <w:t>We aim to explore racial disparities in mortgage lending decisions by researching: Impact of race on mortgage loan approval? And wh</w:t>
      </w:r>
      <w:r w:rsidR="009200FE">
        <w:rPr>
          <w:rFonts w:asciiTheme="minorHAnsi" w:eastAsiaTheme="minorHAnsi" w:hAnsiTheme="minorHAnsi" w:cstheme="minorHAnsi"/>
          <w:lang w:eastAsia="en-US"/>
        </w:rPr>
        <w:t>ether racial discrimination varies</w:t>
      </w:r>
      <w:r w:rsidRPr="007C0F61">
        <w:rPr>
          <w:rFonts w:asciiTheme="minorHAnsi" w:eastAsiaTheme="minorHAnsi" w:hAnsiTheme="minorHAnsi" w:cstheme="minorHAnsi"/>
          <w:lang w:eastAsia="en-US"/>
        </w:rPr>
        <w:t xml:space="preserve"> within similarly able applicant’s characteristics. Our study contributes to the existing body of knowledge by providing the empirical evidence for the existence of the racial divide. It answers questions such as: Do </w:t>
      </w:r>
      <w:r w:rsidRPr="007C0F61">
        <w:rPr>
          <w:rFonts w:asciiTheme="minorHAnsi" w:hAnsiTheme="minorHAnsi" w:cstheme="minorHAnsi"/>
          <w:color w:val="000000"/>
        </w:rPr>
        <w:t xml:space="preserve">Non-Hispanic </w:t>
      </w:r>
      <w:r w:rsidRPr="007C0F61">
        <w:rPr>
          <w:rFonts w:asciiTheme="minorHAnsi" w:eastAsiaTheme="minorHAnsi" w:hAnsiTheme="minorHAnsi" w:cstheme="minorHAnsi"/>
          <w:lang w:eastAsia="en-US"/>
        </w:rPr>
        <w:t xml:space="preserve">Whites have higher </w:t>
      </w:r>
      <w:r w:rsidR="003502DB" w:rsidRPr="007C0F61">
        <w:rPr>
          <w:rFonts w:asciiTheme="minorHAnsi" w:eastAsiaTheme="minorHAnsi" w:hAnsiTheme="minorHAnsi" w:cstheme="minorHAnsi"/>
          <w:lang w:eastAsia="en-US"/>
        </w:rPr>
        <w:t xml:space="preserve">approval rate from </w:t>
      </w:r>
      <w:r w:rsidR="003502DB" w:rsidRPr="007C0F61">
        <w:rPr>
          <w:rFonts w:asciiTheme="minorHAnsi" w:hAnsiTheme="minorHAnsi" w:cstheme="minorHAnsi"/>
          <w:color w:val="000000"/>
        </w:rPr>
        <w:t>Non-Hispanic Blacks or Hispanic? What is the probability of loan approval for Married and similarly able White applicant in comparison to Black or Hispanic counterpart?</w:t>
      </w:r>
    </w:p>
    <w:p w14:paraId="3E610529" w14:textId="7F9B3E04" w:rsidR="0073607D" w:rsidRPr="007C0F61" w:rsidRDefault="0073607D" w:rsidP="006E4E9E">
      <w:pPr>
        <w:pStyle w:val="CommentText"/>
        <w:jc w:val="both"/>
        <w:rPr>
          <w:rFonts w:asciiTheme="minorHAnsi" w:hAnsiTheme="minorHAnsi" w:cstheme="minorHAnsi"/>
        </w:rPr>
      </w:pPr>
    </w:p>
    <w:p w14:paraId="5B736D4D" w14:textId="1C0DA678" w:rsidR="00FB5414" w:rsidRDefault="003502DB" w:rsidP="00FB5414">
      <w:pPr>
        <w:pStyle w:val="CommentText"/>
        <w:jc w:val="both"/>
        <w:rPr>
          <w:rFonts w:asciiTheme="minorHAnsi" w:hAnsiTheme="minorHAnsi" w:cstheme="minorHAnsi"/>
        </w:rPr>
      </w:pPr>
      <w:r w:rsidRPr="007C0F61">
        <w:rPr>
          <w:rFonts w:asciiTheme="minorHAnsi" w:hAnsiTheme="minorHAnsi" w:cstheme="minorHAnsi"/>
        </w:rPr>
        <w:t>In our research, we estimate mortgage lending approval (Approve or Reject) after controlling for Loan-to-Value percentage, Other Obligations, Marital Status and Credit Guidelines across White, Black and Hispanic individuals.</w:t>
      </w:r>
      <w:r w:rsidR="00FB5414">
        <w:rPr>
          <w:rFonts w:asciiTheme="minorHAnsi" w:hAnsiTheme="minorHAnsi" w:cstheme="minorHAnsi"/>
        </w:rPr>
        <w:t xml:space="preserve"> We find loan approval to be positively biased for White applicants in comparison to Black and Hispanic counterparts i.e. odds </w:t>
      </w:r>
      <w:r w:rsidR="00FB5414" w:rsidRPr="007C0F61">
        <w:rPr>
          <w:rFonts w:asciiTheme="minorHAnsi" w:hAnsiTheme="minorHAnsi" w:cstheme="minorHAnsi"/>
        </w:rPr>
        <w:t xml:space="preserve">of loan approval for White applicants </w:t>
      </w:r>
      <w:r w:rsidR="00FB5414">
        <w:rPr>
          <w:rFonts w:asciiTheme="minorHAnsi" w:hAnsiTheme="minorHAnsi" w:cstheme="minorHAnsi"/>
        </w:rPr>
        <w:t>is at least 2</w:t>
      </w:r>
      <w:r w:rsidR="00FB5414" w:rsidRPr="007C0F61">
        <w:rPr>
          <w:rFonts w:asciiTheme="minorHAnsi" w:hAnsiTheme="minorHAnsi" w:cstheme="minorHAnsi"/>
        </w:rPr>
        <w:t xml:space="preserve"> times greater in comparison</w:t>
      </w:r>
      <w:r w:rsidR="00FB5414">
        <w:rPr>
          <w:rFonts w:asciiTheme="minorHAnsi" w:hAnsiTheme="minorHAnsi" w:cstheme="minorHAnsi"/>
        </w:rPr>
        <w:t xml:space="preserve"> </w:t>
      </w:r>
      <w:r w:rsidR="00206ED4">
        <w:rPr>
          <w:rFonts w:asciiTheme="minorHAnsi" w:hAnsiTheme="minorHAnsi" w:cstheme="minorHAnsi"/>
        </w:rPr>
        <w:t xml:space="preserve">to </w:t>
      </w:r>
      <w:r w:rsidR="00FB5414">
        <w:rPr>
          <w:rFonts w:asciiTheme="minorHAnsi" w:hAnsiTheme="minorHAnsi" w:cstheme="minorHAnsi"/>
        </w:rPr>
        <w:t>Black and Hispanic counterparts.</w:t>
      </w:r>
    </w:p>
    <w:p w14:paraId="014D1FEC" w14:textId="63BA454A" w:rsidR="008E6E2C" w:rsidRPr="001C401B" w:rsidRDefault="001B3A8A" w:rsidP="00796DA0">
      <w:pPr>
        <w:pStyle w:val="Heading1"/>
        <w:numPr>
          <w:ilvl w:val="0"/>
          <w:numId w:val="2"/>
        </w:numPr>
        <w:jc w:val="both"/>
        <w:rPr>
          <w:rFonts w:asciiTheme="minorHAnsi" w:hAnsiTheme="minorHAnsi" w:cstheme="minorHAnsi"/>
        </w:rPr>
      </w:pPr>
      <w:r w:rsidRPr="001C401B">
        <w:rPr>
          <w:rFonts w:asciiTheme="minorHAnsi" w:hAnsiTheme="minorHAnsi" w:cstheme="minorHAnsi"/>
        </w:rPr>
        <w:t xml:space="preserve">Econometrics </w:t>
      </w:r>
      <w:r w:rsidR="00D74472" w:rsidRPr="001C401B">
        <w:rPr>
          <w:rFonts w:asciiTheme="minorHAnsi" w:hAnsiTheme="minorHAnsi" w:cstheme="minorHAnsi"/>
        </w:rPr>
        <w:t>Model and Estimation Method</w:t>
      </w:r>
    </w:p>
    <w:p w14:paraId="11C58734" w14:textId="71AD1791" w:rsidR="00F94C96" w:rsidRPr="007C0F61" w:rsidRDefault="00F94C96" w:rsidP="00CA6937">
      <w:pPr>
        <w:jc w:val="both"/>
        <w:rPr>
          <w:rFonts w:asciiTheme="minorHAnsi" w:hAnsiTheme="minorHAnsi" w:cstheme="minorHAnsi"/>
          <w:sz w:val="20"/>
          <w:szCs w:val="20"/>
        </w:rPr>
      </w:pPr>
    </w:p>
    <w:p w14:paraId="149A1EFF" w14:textId="50C0C87F" w:rsidR="00442D70" w:rsidRPr="007C0F61" w:rsidRDefault="006A78A4" w:rsidP="00CA6407">
      <w:pPr>
        <w:pStyle w:val="NoSpacing"/>
        <w:jc w:val="both"/>
        <w:rPr>
          <w:rFonts w:cstheme="minorHAnsi"/>
          <w:sz w:val="20"/>
          <w:szCs w:val="20"/>
        </w:rPr>
      </w:pPr>
      <w:r w:rsidRPr="007C0F61">
        <w:rPr>
          <w:rFonts w:cstheme="minorHAnsi"/>
          <w:sz w:val="20"/>
          <w:szCs w:val="20"/>
        </w:rPr>
        <w:t xml:space="preserve">We aim to </w:t>
      </w:r>
      <w:r w:rsidR="00D56A9F" w:rsidRPr="007C0F61">
        <w:rPr>
          <w:rFonts w:cstheme="minorHAnsi"/>
          <w:sz w:val="20"/>
          <w:szCs w:val="20"/>
        </w:rPr>
        <w:t>estimate</w:t>
      </w:r>
      <w:r w:rsidRPr="007C0F61">
        <w:rPr>
          <w:rFonts w:cstheme="minorHAnsi"/>
          <w:sz w:val="20"/>
          <w:szCs w:val="20"/>
        </w:rPr>
        <w:t xml:space="preserve"> </w:t>
      </w:r>
      <w:r w:rsidR="00217605" w:rsidRPr="007C0F61">
        <w:rPr>
          <w:rFonts w:cstheme="minorHAnsi"/>
          <w:sz w:val="20"/>
          <w:szCs w:val="20"/>
        </w:rPr>
        <w:t>Mortgage Lending Decision</w:t>
      </w:r>
      <w:r w:rsidRPr="007C0F61">
        <w:rPr>
          <w:rFonts w:cstheme="minorHAnsi"/>
          <w:sz w:val="20"/>
          <w:szCs w:val="20"/>
        </w:rPr>
        <w:t xml:space="preserve"> for individuals among various races, and since the outcome is binary</w:t>
      </w:r>
      <w:r w:rsidR="00DC5970" w:rsidRPr="007C0F61">
        <w:rPr>
          <w:rFonts w:cstheme="minorHAnsi"/>
          <w:sz w:val="20"/>
          <w:szCs w:val="20"/>
        </w:rPr>
        <w:t xml:space="preserve"> i.e. </w:t>
      </w:r>
      <w:r w:rsidR="00217605" w:rsidRPr="007C0F61">
        <w:rPr>
          <w:rFonts w:cstheme="minorHAnsi"/>
          <w:sz w:val="20"/>
          <w:szCs w:val="20"/>
        </w:rPr>
        <w:t xml:space="preserve"> Loan Approve</w:t>
      </w:r>
      <w:r w:rsidRPr="007C0F61">
        <w:rPr>
          <w:rFonts w:cstheme="minorHAnsi"/>
          <w:sz w:val="20"/>
          <w:szCs w:val="20"/>
        </w:rPr>
        <w:t xml:space="preserve"> or Loan Reject</w:t>
      </w:r>
      <w:r w:rsidR="00DC5970" w:rsidRPr="007C0F61">
        <w:rPr>
          <w:rFonts w:cstheme="minorHAnsi"/>
          <w:sz w:val="20"/>
          <w:szCs w:val="20"/>
        </w:rPr>
        <w:t>,</w:t>
      </w:r>
      <w:r w:rsidRPr="007C0F61">
        <w:rPr>
          <w:rFonts w:cstheme="minorHAnsi"/>
          <w:sz w:val="20"/>
          <w:szCs w:val="20"/>
        </w:rPr>
        <w:t xml:space="preserve"> it is more appropriate to use </w:t>
      </w:r>
      <w:r w:rsidR="0069215D" w:rsidRPr="007C0F61">
        <w:rPr>
          <w:rFonts w:cstheme="minorHAnsi"/>
          <w:sz w:val="20"/>
          <w:szCs w:val="20"/>
        </w:rPr>
        <w:t xml:space="preserve">Logit </w:t>
      </w:r>
      <w:r w:rsidR="00643782" w:rsidRPr="007C0F61">
        <w:rPr>
          <w:rFonts w:cstheme="minorHAnsi"/>
          <w:sz w:val="20"/>
          <w:szCs w:val="20"/>
        </w:rPr>
        <w:t xml:space="preserve">and Probit </w:t>
      </w:r>
      <w:r w:rsidR="00510EB8" w:rsidRPr="007C0F61">
        <w:rPr>
          <w:rFonts w:cstheme="minorHAnsi"/>
          <w:sz w:val="20"/>
          <w:szCs w:val="20"/>
        </w:rPr>
        <w:t>model</w:t>
      </w:r>
      <w:r w:rsidR="00FD5671" w:rsidRPr="007C0F61">
        <w:rPr>
          <w:rFonts w:cstheme="minorHAnsi"/>
          <w:sz w:val="20"/>
          <w:szCs w:val="20"/>
        </w:rPr>
        <w:t>s</w:t>
      </w:r>
      <w:r w:rsidR="007B6E06" w:rsidRPr="007C0F61">
        <w:rPr>
          <w:rFonts w:cstheme="minorHAnsi"/>
          <w:sz w:val="20"/>
          <w:szCs w:val="20"/>
        </w:rPr>
        <w:t>. We use</w:t>
      </w:r>
      <w:r w:rsidR="00510EB8" w:rsidRPr="007C0F61">
        <w:rPr>
          <w:rFonts w:cstheme="minorHAnsi"/>
          <w:sz w:val="20"/>
          <w:szCs w:val="20"/>
        </w:rPr>
        <w:t xml:space="preserve"> </w:t>
      </w:r>
      <w:r w:rsidR="007B6E06" w:rsidRPr="007C0F61">
        <w:rPr>
          <w:rFonts w:cstheme="minorHAnsi"/>
          <w:sz w:val="20"/>
          <w:szCs w:val="20"/>
        </w:rPr>
        <w:t>Maximum Likelihood E</w:t>
      </w:r>
      <w:r w:rsidR="00D30AD8" w:rsidRPr="007C0F61">
        <w:rPr>
          <w:rFonts w:cstheme="minorHAnsi"/>
          <w:sz w:val="20"/>
          <w:szCs w:val="20"/>
        </w:rPr>
        <w:t>stimation m</w:t>
      </w:r>
      <w:r w:rsidR="005E60DB" w:rsidRPr="007C0F61">
        <w:rPr>
          <w:rFonts w:cstheme="minorHAnsi"/>
          <w:sz w:val="20"/>
          <w:szCs w:val="20"/>
        </w:rPr>
        <w:t xml:space="preserve">ethod </w:t>
      </w:r>
      <w:r w:rsidR="007B6E06" w:rsidRPr="007C0F61">
        <w:rPr>
          <w:rFonts w:cstheme="minorHAnsi"/>
          <w:sz w:val="20"/>
          <w:szCs w:val="20"/>
        </w:rPr>
        <w:t xml:space="preserve">to estimate parameters </w:t>
      </w:r>
      <w:r w:rsidRPr="007C0F61">
        <w:rPr>
          <w:rFonts w:cstheme="minorHAnsi"/>
          <w:sz w:val="20"/>
          <w:szCs w:val="20"/>
        </w:rPr>
        <w:t xml:space="preserve">in </w:t>
      </w:r>
      <w:r w:rsidR="00FD5671" w:rsidRPr="007C0F61">
        <w:rPr>
          <w:rFonts w:cstheme="minorHAnsi"/>
          <w:sz w:val="20"/>
          <w:szCs w:val="20"/>
        </w:rPr>
        <w:t xml:space="preserve">both of </w:t>
      </w:r>
      <w:r w:rsidR="00B714B6" w:rsidRPr="007C0F61">
        <w:rPr>
          <w:rFonts w:cstheme="minorHAnsi"/>
          <w:sz w:val="20"/>
          <w:szCs w:val="20"/>
        </w:rPr>
        <w:t xml:space="preserve">our </w:t>
      </w:r>
      <w:r w:rsidR="003C24EF" w:rsidRPr="007C0F61">
        <w:rPr>
          <w:rFonts w:cstheme="minorHAnsi"/>
          <w:sz w:val="20"/>
          <w:szCs w:val="20"/>
        </w:rPr>
        <w:t>model</w:t>
      </w:r>
      <w:r w:rsidR="00FD5671" w:rsidRPr="007C0F61">
        <w:rPr>
          <w:rFonts w:cstheme="minorHAnsi"/>
          <w:sz w:val="20"/>
          <w:szCs w:val="20"/>
        </w:rPr>
        <w:t>s</w:t>
      </w:r>
      <w:r w:rsidR="00D30AD8" w:rsidRPr="007C0F61">
        <w:rPr>
          <w:rFonts w:cstheme="minorHAnsi"/>
          <w:sz w:val="20"/>
          <w:szCs w:val="20"/>
        </w:rPr>
        <w:t xml:space="preserve">. </w:t>
      </w:r>
      <w:r w:rsidR="00217605" w:rsidRPr="007C0F61">
        <w:rPr>
          <w:rFonts w:cstheme="minorHAnsi"/>
          <w:sz w:val="20"/>
          <w:szCs w:val="20"/>
        </w:rPr>
        <w:t>Our model comprise</w:t>
      </w:r>
      <w:r w:rsidR="009200FE">
        <w:rPr>
          <w:rFonts w:cstheme="minorHAnsi"/>
          <w:sz w:val="20"/>
          <w:szCs w:val="20"/>
        </w:rPr>
        <w:t>s</w:t>
      </w:r>
      <w:r w:rsidR="00217605" w:rsidRPr="007C0F61">
        <w:rPr>
          <w:rFonts w:cstheme="minorHAnsi"/>
          <w:sz w:val="20"/>
          <w:szCs w:val="20"/>
        </w:rPr>
        <w:t xml:space="preserve"> of the following independent </w:t>
      </w:r>
      <w:r w:rsidR="001A7726" w:rsidRPr="007C0F61">
        <w:rPr>
          <w:rFonts w:cstheme="minorHAnsi"/>
          <w:sz w:val="20"/>
          <w:szCs w:val="20"/>
        </w:rPr>
        <w:t xml:space="preserve">variables: Loan amount to </w:t>
      </w:r>
      <w:proofErr w:type="gramStart"/>
      <w:r w:rsidR="001A7726" w:rsidRPr="007C0F61">
        <w:rPr>
          <w:rFonts w:cstheme="minorHAnsi"/>
          <w:sz w:val="20"/>
          <w:szCs w:val="20"/>
        </w:rPr>
        <w:t>Value</w:t>
      </w:r>
      <w:r w:rsidR="00217605" w:rsidRPr="007C0F61">
        <w:rPr>
          <w:rFonts w:cstheme="minorHAnsi"/>
          <w:sz w:val="20"/>
          <w:szCs w:val="20"/>
        </w:rPr>
        <w:t>(</w:t>
      </w:r>
      <w:proofErr w:type="gramEnd"/>
      <w:r w:rsidR="00217605" w:rsidRPr="007C0F61">
        <w:rPr>
          <w:rFonts w:cstheme="minorHAnsi"/>
          <w:b/>
          <w:sz w:val="20"/>
          <w:szCs w:val="20"/>
        </w:rPr>
        <w:t>LTV</w:t>
      </w:r>
      <w:r w:rsidR="00217605" w:rsidRPr="007C0F61">
        <w:rPr>
          <w:rFonts w:cstheme="minorHAnsi"/>
          <w:sz w:val="20"/>
          <w:szCs w:val="20"/>
        </w:rPr>
        <w:t>), Other Obligations</w:t>
      </w:r>
      <w:r w:rsidR="007B5F13" w:rsidRPr="007C0F61">
        <w:rPr>
          <w:rFonts w:cstheme="minorHAnsi"/>
          <w:sz w:val="20"/>
          <w:szCs w:val="20"/>
        </w:rPr>
        <w:t>(</w:t>
      </w:r>
      <w:r w:rsidR="007B5F13" w:rsidRPr="007C0F61">
        <w:rPr>
          <w:rFonts w:cstheme="minorHAnsi"/>
          <w:b/>
          <w:sz w:val="20"/>
          <w:szCs w:val="20"/>
        </w:rPr>
        <w:t>DTI</w:t>
      </w:r>
      <w:r w:rsidR="007B5F13" w:rsidRPr="007C0F61">
        <w:rPr>
          <w:rFonts w:cstheme="minorHAnsi"/>
          <w:sz w:val="20"/>
          <w:szCs w:val="20"/>
        </w:rPr>
        <w:t xml:space="preserve"> - debt-to-income)</w:t>
      </w:r>
      <w:r w:rsidR="00217605" w:rsidRPr="007C0F61">
        <w:rPr>
          <w:rFonts w:cstheme="minorHAnsi"/>
          <w:sz w:val="20"/>
          <w:szCs w:val="20"/>
        </w:rPr>
        <w:t xml:space="preserve">, Credit Guidelines and Marital Status. </w:t>
      </w:r>
    </w:p>
    <w:p w14:paraId="634E3060" w14:textId="77777777" w:rsidR="00442D70" w:rsidRPr="007C0F61" w:rsidRDefault="00442D70" w:rsidP="00CA6407">
      <w:pPr>
        <w:pStyle w:val="NoSpacing"/>
        <w:jc w:val="both"/>
        <w:rPr>
          <w:rFonts w:cstheme="minorHAnsi"/>
          <w:sz w:val="20"/>
          <w:szCs w:val="20"/>
        </w:rPr>
      </w:pPr>
    </w:p>
    <w:p w14:paraId="0CA135C6" w14:textId="506B64FF" w:rsidR="00C6246E" w:rsidRPr="007C0F61" w:rsidRDefault="00217605" w:rsidP="00EB2CD4">
      <w:pPr>
        <w:pStyle w:val="NoSpacing"/>
        <w:jc w:val="both"/>
        <w:rPr>
          <w:rFonts w:cstheme="minorHAnsi"/>
          <w:sz w:val="20"/>
          <w:szCs w:val="20"/>
        </w:rPr>
      </w:pPr>
      <w:r w:rsidRPr="007C0F61">
        <w:rPr>
          <w:rFonts w:cstheme="minorHAnsi"/>
          <w:sz w:val="20"/>
          <w:szCs w:val="20"/>
        </w:rPr>
        <w:t xml:space="preserve">We use </w:t>
      </w:r>
      <w:r w:rsidRPr="007C0F61">
        <w:rPr>
          <w:rFonts w:eastAsia="Times New Roman" w:cstheme="minorHAnsi"/>
          <w:sz w:val="20"/>
          <w:szCs w:val="20"/>
          <w:lang w:eastAsia="en-GB"/>
        </w:rPr>
        <w:t xml:space="preserve">Loan-to-Value </w:t>
      </w:r>
      <w:r w:rsidRPr="007C0F61">
        <w:rPr>
          <w:rFonts w:cstheme="minorHAnsi"/>
          <w:sz w:val="20"/>
          <w:szCs w:val="20"/>
        </w:rPr>
        <w:t xml:space="preserve">in </w:t>
      </w:r>
      <w:r w:rsidRPr="007C0F61">
        <w:rPr>
          <w:rFonts w:eastAsia="Times New Roman" w:cstheme="minorHAnsi"/>
          <w:sz w:val="20"/>
          <w:szCs w:val="20"/>
          <w:lang w:eastAsia="en-GB"/>
        </w:rPr>
        <w:t xml:space="preserve">percentage rather than </w:t>
      </w:r>
      <w:r w:rsidRPr="007C0F61">
        <w:rPr>
          <w:rFonts w:cstheme="minorHAnsi"/>
          <w:sz w:val="20"/>
          <w:szCs w:val="20"/>
        </w:rPr>
        <w:t xml:space="preserve">the </w:t>
      </w:r>
      <w:r w:rsidRPr="007C0F61">
        <w:rPr>
          <w:rFonts w:eastAsia="Times New Roman" w:cstheme="minorHAnsi"/>
          <w:sz w:val="20"/>
          <w:szCs w:val="20"/>
          <w:lang w:eastAsia="en-GB"/>
        </w:rPr>
        <w:t xml:space="preserve">proportion </w:t>
      </w:r>
      <w:r w:rsidRPr="007C0F61">
        <w:rPr>
          <w:rFonts w:cstheme="minorHAnsi"/>
          <w:sz w:val="20"/>
          <w:szCs w:val="20"/>
        </w:rPr>
        <w:t xml:space="preserve">to obtain </w:t>
      </w:r>
      <w:r w:rsidRPr="007C0F61">
        <w:rPr>
          <w:rFonts w:eastAsia="Times New Roman" w:cstheme="minorHAnsi"/>
          <w:sz w:val="20"/>
          <w:szCs w:val="20"/>
          <w:lang w:eastAsia="en-GB"/>
        </w:rPr>
        <w:t>more meaningful odds ratios</w:t>
      </w:r>
      <w:r w:rsidR="00442D70" w:rsidRPr="007C0F61">
        <w:rPr>
          <w:rFonts w:cstheme="minorHAnsi"/>
          <w:sz w:val="20"/>
          <w:szCs w:val="20"/>
        </w:rPr>
        <w:t xml:space="preserve"> from the Logit Model. </w:t>
      </w:r>
      <w:r w:rsidR="0064596F" w:rsidRPr="007C0F61">
        <w:rPr>
          <w:rFonts w:cstheme="minorHAnsi"/>
          <w:sz w:val="20"/>
          <w:szCs w:val="20"/>
        </w:rPr>
        <w:t>To account</w:t>
      </w:r>
      <w:r w:rsidR="00442D70" w:rsidRPr="007C0F61">
        <w:rPr>
          <w:rFonts w:cstheme="minorHAnsi"/>
          <w:sz w:val="20"/>
          <w:szCs w:val="20"/>
        </w:rPr>
        <w:t xml:space="preserve"> for </w:t>
      </w:r>
      <w:r w:rsidR="0064596F" w:rsidRPr="007C0F61">
        <w:rPr>
          <w:rFonts w:cstheme="minorHAnsi"/>
          <w:sz w:val="20"/>
          <w:szCs w:val="20"/>
        </w:rPr>
        <w:t xml:space="preserve">racially </w:t>
      </w:r>
      <w:r w:rsidR="00442D70" w:rsidRPr="007C0F61">
        <w:rPr>
          <w:rFonts w:cstheme="minorHAnsi"/>
          <w:sz w:val="20"/>
          <w:szCs w:val="20"/>
        </w:rPr>
        <w:t>discriminating behavior in loan approva</w:t>
      </w:r>
      <w:r w:rsidR="0064596F" w:rsidRPr="007C0F61">
        <w:rPr>
          <w:rFonts w:cstheme="minorHAnsi"/>
          <w:sz w:val="20"/>
          <w:szCs w:val="20"/>
        </w:rPr>
        <w:t>l practices</w:t>
      </w:r>
      <w:r w:rsidR="000E0E94" w:rsidRPr="007C0F61">
        <w:rPr>
          <w:rFonts w:cstheme="minorHAnsi"/>
          <w:sz w:val="20"/>
          <w:szCs w:val="20"/>
        </w:rPr>
        <w:t>,</w:t>
      </w:r>
      <w:r w:rsidR="0064596F" w:rsidRPr="007C0F61">
        <w:rPr>
          <w:rFonts w:cstheme="minorHAnsi"/>
          <w:sz w:val="20"/>
          <w:szCs w:val="20"/>
        </w:rPr>
        <w:t xml:space="preserve"> we find Credit Guidelines as an appropriate indicator. </w:t>
      </w:r>
      <w:proofErr w:type="gramStart"/>
      <w:r w:rsidR="004D7807" w:rsidRPr="007C0F61">
        <w:rPr>
          <w:rFonts w:cstheme="minorHAnsi"/>
          <w:sz w:val="20"/>
          <w:szCs w:val="20"/>
        </w:rPr>
        <w:t>In order to</w:t>
      </w:r>
      <w:proofErr w:type="gramEnd"/>
      <w:r w:rsidR="004D7807" w:rsidRPr="007C0F61">
        <w:rPr>
          <w:rFonts w:cstheme="minorHAnsi"/>
          <w:sz w:val="20"/>
          <w:szCs w:val="20"/>
        </w:rPr>
        <w:t xml:space="preserve"> differentiate between </w:t>
      </w:r>
      <w:r w:rsidR="009200FE">
        <w:rPr>
          <w:rFonts w:cstheme="minorHAnsi"/>
          <w:sz w:val="20"/>
          <w:szCs w:val="20"/>
        </w:rPr>
        <w:t xml:space="preserve">a </w:t>
      </w:r>
      <w:r w:rsidR="004D7807" w:rsidRPr="007C0F61">
        <w:rPr>
          <w:rFonts w:cstheme="minorHAnsi"/>
          <w:sz w:val="20"/>
          <w:szCs w:val="20"/>
        </w:rPr>
        <w:t xml:space="preserve">single applicant and joint applicants, we use Marital status as an independent variable in our model. </w:t>
      </w:r>
      <w:r w:rsidR="00FD5671" w:rsidRPr="007C0F61">
        <w:rPr>
          <w:rFonts w:cstheme="minorHAnsi"/>
          <w:sz w:val="20"/>
          <w:szCs w:val="20"/>
        </w:rPr>
        <w:t xml:space="preserve">After we control for </w:t>
      </w:r>
      <w:r w:rsidR="00AA04E4" w:rsidRPr="007C0F61">
        <w:rPr>
          <w:rFonts w:cstheme="minorHAnsi"/>
          <w:sz w:val="20"/>
          <w:szCs w:val="20"/>
        </w:rPr>
        <w:t>LTV, DTI and</w:t>
      </w:r>
      <w:r w:rsidR="00FD5671" w:rsidRPr="007C0F61">
        <w:rPr>
          <w:rFonts w:cstheme="minorHAnsi"/>
          <w:sz w:val="20"/>
          <w:szCs w:val="20"/>
        </w:rPr>
        <w:t xml:space="preserve"> Marital Status</w:t>
      </w:r>
      <w:r w:rsidR="00AA04E4" w:rsidRPr="007C0F61">
        <w:rPr>
          <w:rFonts w:cstheme="minorHAnsi"/>
          <w:sz w:val="20"/>
          <w:szCs w:val="20"/>
        </w:rPr>
        <w:t>, our model enable</w:t>
      </w:r>
      <w:r w:rsidR="009200FE">
        <w:rPr>
          <w:rFonts w:cstheme="minorHAnsi"/>
          <w:sz w:val="20"/>
          <w:szCs w:val="20"/>
        </w:rPr>
        <w:t>s</w:t>
      </w:r>
      <w:r w:rsidR="00AA04E4" w:rsidRPr="007C0F61">
        <w:rPr>
          <w:rFonts w:cstheme="minorHAnsi"/>
          <w:sz w:val="20"/>
          <w:szCs w:val="20"/>
        </w:rPr>
        <w:t xml:space="preserve"> us to </w:t>
      </w:r>
      <w:r w:rsidR="00D56A9F" w:rsidRPr="007C0F61">
        <w:rPr>
          <w:rFonts w:cstheme="minorHAnsi"/>
          <w:sz w:val="20"/>
          <w:szCs w:val="20"/>
        </w:rPr>
        <w:t>estimate</w:t>
      </w:r>
      <w:r w:rsidR="00573474" w:rsidRPr="007C0F61">
        <w:rPr>
          <w:rFonts w:cstheme="minorHAnsi"/>
          <w:sz w:val="20"/>
          <w:szCs w:val="20"/>
        </w:rPr>
        <w:t xml:space="preserve"> mortgage lending decision</w:t>
      </w:r>
      <w:r w:rsidR="00AA04E4" w:rsidRPr="007C0F61">
        <w:rPr>
          <w:rFonts w:cstheme="minorHAnsi"/>
          <w:sz w:val="20"/>
          <w:szCs w:val="20"/>
        </w:rPr>
        <w:t xml:space="preserve"> among three different Races: Non-Hispanic White (</w:t>
      </w:r>
      <w:r w:rsidR="00573474" w:rsidRPr="007C0F61">
        <w:rPr>
          <w:rFonts w:cstheme="minorHAnsi"/>
          <w:sz w:val="20"/>
          <w:szCs w:val="20"/>
        </w:rPr>
        <w:t>Reference Category</w:t>
      </w:r>
      <w:r w:rsidR="00AA04E4" w:rsidRPr="007C0F61">
        <w:rPr>
          <w:rFonts w:cstheme="minorHAnsi"/>
          <w:sz w:val="20"/>
          <w:szCs w:val="20"/>
        </w:rPr>
        <w:t>), Hispanic and Non-Hispanic Black</w:t>
      </w:r>
      <w:r w:rsidR="00DC6F84">
        <w:rPr>
          <w:rFonts w:cstheme="minorHAnsi"/>
          <w:sz w:val="20"/>
          <w:szCs w:val="20"/>
        </w:rPr>
        <w:t>.</w:t>
      </w:r>
    </w:p>
    <w:p w14:paraId="330CC5FB" w14:textId="6DBF69F5" w:rsidR="006A78A4" w:rsidRDefault="006A78A4">
      <w:pPr>
        <w:rPr>
          <w:rFonts w:asciiTheme="minorHAnsi" w:eastAsiaTheme="majorEastAsia" w:hAnsiTheme="minorHAnsi" w:cstheme="minorHAnsi"/>
          <w:color w:val="2F5496" w:themeColor="accent1" w:themeShade="BF"/>
          <w:sz w:val="20"/>
          <w:szCs w:val="20"/>
        </w:rPr>
      </w:pPr>
    </w:p>
    <w:p w14:paraId="6350DE3A" w14:textId="77777777" w:rsidR="008031D5" w:rsidRPr="007C0F61" w:rsidRDefault="008031D5">
      <w:pPr>
        <w:rPr>
          <w:rFonts w:asciiTheme="minorHAnsi" w:eastAsiaTheme="majorEastAsia" w:hAnsiTheme="minorHAnsi" w:cstheme="minorHAnsi"/>
          <w:color w:val="2F5496" w:themeColor="accent1" w:themeShade="BF"/>
          <w:sz w:val="20"/>
          <w:szCs w:val="20"/>
        </w:rPr>
      </w:pPr>
    </w:p>
    <w:p w14:paraId="7FF6D650" w14:textId="5CFBEFA5" w:rsidR="00F94C96" w:rsidRPr="001C401B" w:rsidRDefault="00D74472" w:rsidP="001C401B">
      <w:pPr>
        <w:pStyle w:val="Heading1"/>
        <w:numPr>
          <w:ilvl w:val="0"/>
          <w:numId w:val="2"/>
        </w:numPr>
        <w:jc w:val="both"/>
        <w:rPr>
          <w:rFonts w:asciiTheme="minorHAnsi" w:hAnsiTheme="minorHAnsi" w:cstheme="minorHAnsi"/>
        </w:rPr>
      </w:pPr>
      <w:r w:rsidRPr="001C401B">
        <w:rPr>
          <w:rFonts w:asciiTheme="minorHAnsi" w:hAnsiTheme="minorHAnsi" w:cstheme="minorHAnsi"/>
        </w:rPr>
        <w:lastRenderedPageBreak/>
        <w:t>Data</w:t>
      </w:r>
    </w:p>
    <w:p w14:paraId="2D59E3AC" w14:textId="6FB4F9D6" w:rsidR="00630DE6" w:rsidRPr="007C0F61" w:rsidRDefault="00630DE6" w:rsidP="00630DE6">
      <w:pPr>
        <w:rPr>
          <w:rFonts w:asciiTheme="minorHAnsi" w:hAnsiTheme="minorHAnsi" w:cstheme="minorHAnsi"/>
          <w:sz w:val="20"/>
          <w:szCs w:val="20"/>
        </w:rPr>
      </w:pPr>
    </w:p>
    <w:p w14:paraId="42BB830E" w14:textId="76049F24" w:rsidR="00522819" w:rsidRPr="007C0F61" w:rsidRDefault="002264A1" w:rsidP="00522819">
      <w:pPr>
        <w:jc w:val="both"/>
        <w:rPr>
          <w:rFonts w:asciiTheme="minorHAnsi" w:hAnsiTheme="minorHAnsi" w:cstheme="minorHAnsi"/>
          <w:sz w:val="20"/>
          <w:szCs w:val="20"/>
        </w:rPr>
      </w:pPr>
      <w:r w:rsidRPr="007C0F61">
        <w:rPr>
          <w:rFonts w:asciiTheme="minorHAnsi" w:hAnsiTheme="minorHAnsi" w:cstheme="minorHAnsi"/>
          <w:sz w:val="20"/>
          <w:szCs w:val="20"/>
        </w:rPr>
        <w:t xml:space="preserve">Our data is a subset </w:t>
      </w:r>
      <w:r w:rsidR="001A64E6">
        <w:rPr>
          <w:rFonts w:asciiTheme="minorHAnsi" w:hAnsiTheme="minorHAnsi" w:cstheme="minorHAnsi"/>
          <w:sz w:val="20"/>
          <w:szCs w:val="20"/>
        </w:rPr>
        <w:t>of</w:t>
      </w:r>
      <w:r w:rsidRPr="007C0F61">
        <w:rPr>
          <w:rFonts w:asciiTheme="minorHAnsi" w:hAnsiTheme="minorHAnsi" w:cstheme="minorHAnsi"/>
          <w:sz w:val="20"/>
          <w:szCs w:val="20"/>
        </w:rPr>
        <w:t xml:space="preserve"> the data </w:t>
      </w:r>
      <w:r w:rsidR="00E125D6" w:rsidRPr="007C0F61">
        <w:rPr>
          <w:rFonts w:asciiTheme="minorHAnsi" w:hAnsiTheme="minorHAnsi" w:cstheme="minorHAnsi"/>
          <w:sz w:val="20"/>
          <w:szCs w:val="20"/>
        </w:rPr>
        <w:t xml:space="preserve">that was collected in 1990 by </w:t>
      </w:r>
      <w:r w:rsidR="00E125D6" w:rsidRPr="007C0F61">
        <w:rPr>
          <w:rFonts w:asciiTheme="minorHAnsi" w:eastAsiaTheme="minorHAnsi" w:hAnsiTheme="minorHAnsi" w:cstheme="minorHAnsi"/>
          <w:sz w:val="20"/>
          <w:szCs w:val="20"/>
          <w:lang w:eastAsia="en-US"/>
        </w:rPr>
        <w:t>financial institutions operating in the Boston Metropolitan Statistical Area (MSA)</w:t>
      </w:r>
      <w:r w:rsidR="00E125D6" w:rsidRPr="007C0F61">
        <w:rPr>
          <w:rFonts w:asciiTheme="minorHAnsi" w:hAnsiTheme="minorHAnsi" w:cstheme="minorHAnsi"/>
          <w:sz w:val="20"/>
          <w:szCs w:val="20"/>
        </w:rPr>
        <w:t xml:space="preserve"> upon </w:t>
      </w:r>
      <w:r w:rsidR="004A33CA" w:rsidRPr="007C0F61">
        <w:rPr>
          <w:rFonts w:asciiTheme="minorHAnsi" w:hAnsiTheme="minorHAnsi" w:cstheme="minorHAnsi"/>
          <w:sz w:val="20"/>
          <w:szCs w:val="20"/>
        </w:rPr>
        <w:t xml:space="preserve">the </w:t>
      </w:r>
      <w:r w:rsidR="00E125D6" w:rsidRPr="007C0F61">
        <w:rPr>
          <w:rFonts w:asciiTheme="minorHAnsi" w:hAnsiTheme="minorHAnsi" w:cstheme="minorHAnsi"/>
          <w:sz w:val="20"/>
          <w:szCs w:val="20"/>
        </w:rPr>
        <w:t xml:space="preserve">request of </w:t>
      </w:r>
      <w:r w:rsidR="00E125D6" w:rsidRPr="007C0F61">
        <w:rPr>
          <w:rFonts w:asciiTheme="minorHAnsi" w:eastAsiaTheme="minorHAnsi" w:hAnsiTheme="minorHAnsi" w:cstheme="minorHAnsi"/>
          <w:sz w:val="20"/>
          <w:szCs w:val="20"/>
          <w:lang w:eastAsia="en-US"/>
        </w:rPr>
        <w:t>Federal Reserve Bank of Boston</w:t>
      </w:r>
      <w:r w:rsidR="002B0B80" w:rsidRPr="007C0F61">
        <w:rPr>
          <w:rFonts w:asciiTheme="minorHAnsi" w:eastAsiaTheme="minorHAnsi" w:hAnsiTheme="minorHAnsi" w:cstheme="minorHAnsi"/>
          <w:sz w:val="20"/>
          <w:szCs w:val="20"/>
          <w:lang w:eastAsia="en-US"/>
        </w:rPr>
        <w:t xml:space="preserve"> [</w:t>
      </w:r>
      <w:r w:rsidR="006E4E9E" w:rsidRPr="007C0F61">
        <w:rPr>
          <w:rFonts w:asciiTheme="minorHAnsi" w:eastAsiaTheme="minorHAnsi" w:hAnsiTheme="minorHAnsi" w:cstheme="minorHAnsi"/>
          <w:sz w:val="20"/>
          <w:szCs w:val="20"/>
          <w:lang w:eastAsia="en-US"/>
        </w:rPr>
        <w:t>2</w:t>
      </w:r>
      <w:r w:rsidR="002B0B80" w:rsidRPr="007C0F61">
        <w:rPr>
          <w:rFonts w:asciiTheme="minorHAnsi" w:eastAsiaTheme="minorHAnsi" w:hAnsiTheme="minorHAnsi" w:cstheme="minorHAnsi"/>
          <w:sz w:val="20"/>
          <w:szCs w:val="20"/>
          <w:lang w:eastAsia="en-US"/>
        </w:rPr>
        <w:t>]</w:t>
      </w:r>
      <w:r w:rsidR="00E125D6" w:rsidRPr="007C0F61">
        <w:rPr>
          <w:rFonts w:asciiTheme="minorHAnsi" w:hAnsiTheme="minorHAnsi" w:cstheme="minorHAnsi"/>
          <w:sz w:val="20"/>
          <w:szCs w:val="20"/>
        </w:rPr>
        <w:t>. This data is a city level random sample of household units</w:t>
      </w:r>
      <w:r w:rsidR="004A33CA" w:rsidRPr="007C0F61">
        <w:rPr>
          <w:rFonts w:asciiTheme="minorHAnsi" w:hAnsiTheme="minorHAnsi" w:cstheme="minorHAnsi"/>
          <w:sz w:val="20"/>
          <w:szCs w:val="20"/>
        </w:rPr>
        <w:t>;</w:t>
      </w:r>
      <w:r w:rsidR="00E125D6" w:rsidRPr="007C0F61">
        <w:rPr>
          <w:rFonts w:asciiTheme="minorHAnsi" w:hAnsiTheme="minorHAnsi" w:cstheme="minorHAnsi"/>
          <w:sz w:val="20"/>
          <w:szCs w:val="20"/>
        </w:rPr>
        <w:t xml:space="preserve"> while we aim to estimate the approval probability at an individual level. Therefore, our data set is a subset of original Boston city data at</w:t>
      </w:r>
      <w:r w:rsidR="00B1259A" w:rsidRPr="007C0F61">
        <w:rPr>
          <w:rFonts w:asciiTheme="minorHAnsi" w:hAnsiTheme="minorHAnsi" w:cstheme="minorHAnsi"/>
          <w:sz w:val="20"/>
          <w:szCs w:val="20"/>
        </w:rPr>
        <w:t xml:space="preserve"> an</w:t>
      </w:r>
      <w:r w:rsidR="00E125D6" w:rsidRPr="007C0F61">
        <w:rPr>
          <w:rFonts w:asciiTheme="minorHAnsi" w:hAnsiTheme="minorHAnsi" w:cstheme="minorHAnsi"/>
          <w:sz w:val="20"/>
          <w:szCs w:val="20"/>
        </w:rPr>
        <w:t xml:space="preserve"> individual level. This data includes loan </w:t>
      </w:r>
      <w:r w:rsidR="00B1259A" w:rsidRPr="007C0F61">
        <w:rPr>
          <w:rFonts w:asciiTheme="minorHAnsi" w:hAnsiTheme="minorHAnsi" w:cstheme="minorHAnsi"/>
          <w:sz w:val="20"/>
          <w:szCs w:val="20"/>
        </w:rPr>
        <w:t xml:space="preserve">application specific </w:t>
      </w:r>
      <w:r w:rsidR="00E125D6" w:rsidRPr="007C0F61">
        <w:rPr>
          <w:rFonts w:asciiTheme="minorHAnsi" w:hAnsiTheme="minorHAnsi" w:cstheme="minorHAnsi"/>
          <w:sz w:val="20"/>
          <w:szCs w:val="20"/>
        </w:rPr>
        <w:t xml:space="preserve">characteristics </w:t>
      </w:r>
      <w:r w:rsidR="007A49A7" w:rsidRPr="007C0F61">
        <w:rPr>
          <w:rFonts w:asciiTheme="minorHAnsi" w:hAnsiTheme="minorHAnsi" w:cstheme="minorHAnsi"/>
          <w:sz w:val="20"/>
          <w:szCs w:val="20"/>
        </w:rPr>
        <w:t>such as</w:t>
      </w:r>
      <w:r w:rsidR="00E125D6" w:rsidRPr="007C0F61">
        <w:rPr>
          <w:rFonts w:asciiTheme="minorHAnsi" w:hAnsiTheme="minorHAnsi" w:cstheme="minorHAnsi"/>
          <w:sz w:val="20"/>
          <w:szCs w:val="20"/>
        </w:rPr>
        <w:t xml:space="preserve"> race/ethnicity,</w:t>
      </w:r>
      <w:r w:rsidR="001A64E6">
        <w:rPr>
          <w:rFonts w:asciiTheme="minorHAnsi" w:hAnsiTheme="minorHAnsi" w:cstheme="minorHAnsi"/>
          <w:sz w:val="20"/>
          <w:szCs w:val="20"/>
        </w:rPr>
        <w:t xml:space="preserve"> marital status, gender, credit</w:t>
      </w:r>
      <w:r w:rsidR="00E125D6" w:rsidRPr="007C0F61">
        <w:rPr>
          <w:rFonts w:asciiTheme="minorHAnsi" w:hAnsiTheme="minorHAnsi" w:cstheme="minorHAnsi"/>
          <w:sz w:val="20"/>
          <w:szCs w:val="20"/>
        </w:rPr>
        <w:t xml:space="preserve">worthiness, other obligations and loan amount to </w:t>
      </w:r>
      <w:r w:rsidR="002C23E9" w:rsidRPr="007C0F61">
        <w:rPr>
          <w:rFonts w:asciiTheme="minorHAnsi" w:hAnsiTheme="minorHAnsi" w:cstheme="minorHAnsi"/>
          <w:sz w:val="20"/>
          <w:szCs w:val="20"/>
        </w:rPr>
        <w:t>value.</w:t>
      </w:r>
      <w:r w:rsidR="00522819" w:rsidRPr="007C0F61">
        <w:rPr>
          <w:rFonts w:asciiTheme="minorHAnsi" w:hAnsiTheme="minorHAnsi" w:cstheme="minorHAnsi"/>
          <w:sz w:val="20"/>
          <w:szCs w:val="20"/>
        </w:rPr>
        <w:t xml:space="preserve"> </w:t>
      </w:r>
    </w:p>
    <w:p w14:paraId="3257BE65" w14:textId="38AC8417" w:rsidR="002264A1" w:rsidRPr="007C0F61" w:rsidRDefault="002264A1" w:rsidP="00522819">
      <w:pPr>
        <w:pStyle w:val="NoSpacing"/>
        <w:jc w:val="both"/>
        <w:rPr>
          <w:rFonts w:eastAsia="Times New Roman" w:cstheme="minorHAnsi"/>
          <w:sz w:val="20"/>
          <w:szCs w:val="20"/>
          <w:lang w:eastAsia="en-GB"/>
        </w:rPr>
      </w:pPr>
    </w:p>
    <w:p w14:paraId="4F863632" w14:textId="00D3CF2F" w:rsidR="00196239" w:rsidRPr="007C0F61" w:rsidRDefault="004A33CA" w:rsidP="00522819">
      <w:pPr>
        <w:pStyle w:val="NoSpacing"/>
        <w:jc w:val="both"/>
        <w:rPr>
          <w:rFonts w:eastAsia="Times New Roman" w:cstheme="minorHAnsi"/>
          <w:sz w:val="20"/>
          <w:szCs w:val="20"/>
          <w:lang w:eastAsia="en-GB"/>
        </w:rPr>
      </w:pPr>
      <w:r w:rsidRPr="007C0F61">
        <w:rPr>
          <w:rFonts w:eastAsia="Times New Roman" w:cstheme="minorHAnsi"/>
          <w:sz w:val="20"/>
          <w:szCs w:val="20"/>
          <w:lang w:eastAsia="en-GB"/>
        </w:rPr>
        <w:t>To free our data set from inconsistencies, we exclude records where</w:t>
      </w:r>
      <w:r w:rsidR="00733B2D" w:rsidRPr="007C0F61">
        <w:rPr>
          <w:rFonts w:eastAsia="Times New Roman" w:cstheme="minorHAnsi"/>
          <w:sz w:val="20"/>
          <w:szCs w:val="20"/>
          <w:lang w:eastAsia="en-GB"/>
        </w:rPr>
        <w:t>:</w:t>
      </w:r>
      <w:r w:rsidRPr="007C0F61">
        <w:rPr>
          <w:rFonts w:eastAsia="Times New Roman" w:cstheme="minorHAnsi"/>
          <w:sz w:val="20"/>
          <w:szCs w:val="20"/>
          <w:lang w:eastAsia="en-GB"/>
        </w:rPr>
        <w:t xml:space="preserve"> Gender is anything but Male or Female, </w:t>
      </w:r>
      <w:r w:rsidR="00670BB6" w:rsidRPr="007C0F61">
        <w:rPr>
          <w:rFonts w:eastAsia="Times New Roman" w:cstheme="minorHAnsi"/>
          <w:sz w:val="20"/>
          <w:szCs w:val="20"/>
          <w:lang w:eastAsia="en-GB"/>
        </w:rPr>
        <w:t>Marital</w:t>
      </w:r>
      <w:r w:rsidR="00733B2D" w:rsidRPr="007C0F61">
        <w:rPr>
          <w:rFonts w:eastAsia="Times New Roman" w:cstheme="minorHAnsi"/>
          <w:sz w:val="20"/>
          <w:szCs w:val="20"/>
          <w:lang w:eastAsia="en-GB"/>
        </w:rPr>
        <w:t xml:space="preserve"> Status is anything but Married or Single and Credit history meeting the guidelines is anything but Yes or No, leaving us with 1,969 individuals from the total of 1,989 i</w:t>
      </w:r>
      <w:r w:rsidR="001A64E6">
        <w:rPr>
          <w:rFonts w:eastAsia="Times New Roman" w:cstheme="minorHAnsi"/>
          <w:sz w:val="20"/>
          <w:szCs w:val="20"/>
          <w:lang w:eastAsia="en-GB"/>
        </w:rPr>
        <w:t>ndividuals in the initial datas</w:t>
      </w:r>
      <w:r w:rsidR="00733B2D" w:rsidRPr="007C0F61">
        <w:rPr>
          <w:rFonts w:eastAsia="Times New Roman" w:cstheme="minorHAnsi"/>
          <w:sz w:val="20"/>
          <w:szCs w:val="20"/>
          <w:lang w:eastAsia="en-GB"/>
        </w:rPr>
        <w:t>et.</w:t>
      </w:r>
      <w:r w:rsidR="00F16B72" w:rsidRPr="007C0F61">
        <w:rPr>
          <w:rFonts w:eastAsia="Times New Roman" w:cstheme="minorHAnsi"/>
          <w:sz w:val="20"/>
          <w:szCs w:val="20"/>
          <w:lang w:eastAsia="en-GB"/>
        </w:rPr>
        <w:t xml:space="preserve"> </w:t>
      </w:r>
      <w:r w:rsidR="00B346D5" w:rsidRPr="007C0F61">
        <w:rPr>
          <w:rFonts w:eastAsia="Times New Roman" w:cstheme="minorHAnsi"/>
          <w:sz w:val="20"/>
          <w:szCs w:val="20"/>
          <w:lang w:eastAsia="en-GB"/>
        </w:rPr>
        <w:t xml:space="preserve">Loan-to-Value </w:t>
      </w:r>
      <w:r w:rsidR="00851BDF" w:rsidRPr="007C0F61">
        <w:rPr>
          <w:rFonts w:eastAsia="Times New Roman" w:cstheme="minorHAnsi"/>
          <w:sz w:val="20"/>
          <w:szCs w:val="20"/>
          <w:lang w:eastAsia="en-GB"/>
        </w:rPr>
        <w:t xml:space="preserve">measures borrower’s stake in the property. </w:t>
      </w:r>
      <w:r w:rsidR="001D3E66" w:rsidRPr="007C0F61">
        <w:rPr>
          <w:rFonts w:eastAsia="Times New Roman" w:cstheme="minorHAnsi"/>
          <w:sz w:val="20"/>
          <w:szCs w:val="20"/>
          <w:lang w:eastAsia="en-GB"/>
        </w:rPr>
        <w:t xml:space="preserve">This factor indicates the risk that a lender is taking while lending the money to a borrower. </w:t>
      </w:r>
      <w:r w:rsidR="00347401" w:rsidRPr="007C0F61">
        <w:rPr>
          <w:rFonts w:eastAsia="Times New Roman" w:cstheme="minorHAnsi"/>
          <w:sz w:val="20"/>
          <w:szCs w:val="20"/>
          <w:lang w:eastAsia="en-GB"/>
        </w:rPr>
        <w:t xml:space="preserve">In general, loan-to-value up to 80% is acceptable by </w:t>
      </w:r>
      <w:r w:rsidR="00522819" w:rsidRPr="007C0F61">
        <w:rPr>
          <w:rFonts w:eastAsia="Times New Roman" w:cstheme="minorHAnsi"/>
          <w:sz w:val="20"/>
          <w:szCs w:val="20"/>
          <w:lang w:eastAsia="en-GB"/>
        </w:rPr>
        <w:t xml:space="preserve">traditional </w:t>
      </w:r>
      <w:r w:rsidR="00347401" w:rsidRPr="007C0F61">
        <w:rPr>
          <w:rFonts w:eastAsia="Times New Roman" w:cstheme="minorHAnsi"/>
          <w:sz w:val="20"/>
          <w:szCs w:val="20"/>
          <w:lang w:eastAsia="en-GB"/>
        </w:rPr>
        <w:t>mortgage lenders while higher values</w:t>
      </w:r>
      <w:r w:rsidR="00522819" w:rsidRPr="007C0F61">
        <w:rPr>
          <w:rFonts w:eastAsia="Times New Roman" w:cstheme="minorHAnsi"/>
          <w:sz w:val="20"/>
          <w:szCs w:val="20"/>
          <w:lang w:eastAsia="en-GB"/>
        </w:rPr>
        <w:t xml:space="preserve"> (e.g. 120% = property value + refurbishment cost)</w:t>
      </w:r>
      <w:r w:rsidR="00347401" w:rsidRPr="007C0F61">
        <w:rPr>
          <w:rFonts w:eastAsia="Times New Roman" w:cstheme="minorHAnsi"/>
          <w:sz w:val="20"/>
          <w:szCs w:val="20"/>
          <w:lang w:eastAsia="en-GB"/>
        </w:rPr>
        <w:t xml:space="preserve"> </w:t>
      </w:r>
      <w:r w:rsidR="00522819" w:rsidRPr="007C0F61">
        <w:rPr>
          <w:rFonts w:eastAsia="Times New Roman" w:cstheme="minorHAnsi"/>
          <w:sz w:val="20"/>
          <w:szCs w:val="20"/>
          <w:lang w:eastAsia="en-GB"/>
        </w:rPr>
        <w:t xml:space="preserve">are acceptable by private lenders secured by mortgage insurance. Thus, we have restricted loan-to-value ratio up to 1.2 or 120% (filtering 15 records). </w:t>
      </w:r>
    </w:p>
    <w:p w14:paraId="2AE26A8B" w14:textId="77777777" w:rsidR="00522819" w:rsidRPr="007C0F61" w:rsidRDefault="00522819" w:rsidP="00522819">
      <w:pPr>
        <w:jc w:val="both"/>
        <w:rPr>
          <w:rFonts w:asciiTheme="minorHAnsi" w:hAnsiTheme="minorHAnsi" w:cstheme="minorHAnsi"/>
          <w:sz w:val="20"/>
          <w:szCs w:val="20"/>
        </w:rPr>
      </w:pPr>
    </w:p>
    <w:p w14:paraId="17CA4A91" w14:textId="4DCB4539" w:rsidR="0000113B" w:rsidRPr="007C0F61" w:rsidRDefault="00136629" w:rsidP="00522819">
      <w:pPr>
        <w:jc w:val="both"/>
        <w:rPr>
          <w:rFonts w:asciiTheme="minorHAnsi" w:hAnsiTheme="minorHAnsi" w:cstheme="minorHAnsi"/>
          <w:sz w:val="20"/>
          <w:szCs w:val="20"/>
        </w:rPr>
      </w:pPr>
      <w:r w:rsidRPr="007C0F61">
        <w:rPr>
          <w:rFonts w:asciiTheme="minorHAnsi" w:hAnsiTheme="minorHAnsi" w:cstheme="minorHAnsi"/>
          <w:sz w:val="20"/>
          <w:szCs w:val="20"/>
        </w:rPr>
        <w:t>Other obligations</w:t>
      </w:r>
      <w:r w:rsidR="007B5F13" w:rsidRPr="007C0F61">
        <w:rPr>
          <w:rFonts w:asciiTheme="minorHAnsi" w:hAnsiTheme="minorHAnsi" w:cstheme="minorHAnsi"/>
          <w:sz w:val="20"/>
          <w:szCs w:val="20"/>
        </w:rPr>
        <w:t xml:space="preserve"> </w:t>
      </w:r>
      <w:r w:rsidRPr="007C0F61">
        <w:rPr>
          <w:rFonts w:asciiTheme="minorHAnsi" w:hAnsiTheme="minorHAnsi" w:cstheme="minorHAnsi"/>
          <w:sz w:val="20"/>
          <w:szCs w:val="20"/>
        </w:rPr>
        <w:t xml:space="preserve">are indicators for an individual’s capability </w:t>
      </w:r>
      <w:r w:rsidR="007641C4" w:rsidRPr="007C0F61">
        <w:rPr>
          <w:rFonts w:asciiTheme="minorHAnsi" w:hAnsiTheme="minorHAnsi" w:cstheme="minorHAnsi"/>
          <w:sz w:val="20"/>
          <w:szCs w:val="20"/>
        </w:rPr>
        <w:t>to make the repayments</w:t>
      </w:r>
      <w:r w:rsidR="00316607" w:rsidRPr="007C0F61">
        <w:rPr>
          <w:rFonts w:asciiTheme="minorHAnsi" w:hAnsiTheme="minorHAnsi" w:cstheme="minorHAnsi"/>
          <w:sz w:val="20"/>
          <w:szCs w:val="20"/>
        </w:rPr>
        <w:t xml:space="preserve"> (likelihood of default)</w:t>
      </w:r>
      <w:r w:rsidR="007641C4" w:rsidRPr="007C0F61">
        <w:rPr>
          <w:rFonts w:asciiTheme="minorHAnsi" w:hAnsiTheme="minorHAnsi" w:cstheme="minorHAnsi"/>
          <w:sz w:val="20"/>
          <w:szCs w:val="20"/>
        </w:rPr>
        <w:t xml:space="preserve">, individual with higher debt-to-income ratio are less likely to repay in time. </w:t>
      </w:r>
      <w:r w:rsidR="00F12F94" w:rsidRPr="007C0F61">
        <w:rPr>
          <w:rFonts w:asciiTheme="minorHAnsi" w:hAnsiTheme="minorHAnsi" w:cstheme="minorHAnsi"/>
          <w:sz w:val="20"/>
          <w:szCs w:val="20"/>
        </w:rPr>
        <w:t xml:space="preserve">Conforming lenders </w:t>
      </w:r>
      <w:r w:rsidR="0000113B" w:rsidRPr="007C0F61">
        <w:rPr>
          <w:rFonts w:asciiTheme="minorHAnsi" w:hAnsiTheme="minorHAnsi" w:cstheme="minorHAnsi"/>
          <w:sz w:val="20"/>
          <w:szCs w:val="20"/>
        </w:rPr>
        <w:t>like banks are likely to accept</w:t>
      </w:r>
      <w:r w:rsidR="007641C4" w:rsidRPr="007C0F61">
        <w:rPr>
          <w:rFonts w:asciiTheme="minorHAnsi" w:hAnsiTheme="minorHAnsi" w:cstheme="minorHAnsi"/>
          <w:sz w:val="20"/>
          <w:szCs w:val="20"/>
        </w:rPr>
        <w:t xml:space="preserve"> </w:t>
      </w:r>
      <w:r w:rsidR="00935253" w:rsidRPr="007C0F61">
        <w:rPr>
          <w:rFonts w:asciiTheme="minorHAnsi" w:hAnsiTheme="minorHAnsi" w:cstheme="minorHAnsi"/>
          <w:sz w:val="20"/>
          <w:szCs w:val="20"/>
        </w:rPr>
        <w:t>DTI</w:t>
      </w:r>
      <w:r w:rsidR="007641C4" w:rsidRPr="007C0F61">
        <w:rPr>
          <w:rFonts w:asciiTheme="minorHAnsi" w:hAnsiTheme="minorHAnsi" w:cstheme="minorHAnsi"/>
          <w:sz w:val="20"/>
          <w:szCs w:val="20"/>
        </w:rPr>
        <w:t xml:space="preserve"> </w:t>
      </w:r>
      <w:r w:rsidR="0000113B" w:rsidRPr="007C0F61">
        <w:rPr>
          <w:rFonts w:asciiTheme="minorHAnsi" w:hAnsiTheme="minorHAnsi" w:cstheme="minorHAnsi"/>
          <w:sz w:val="20"/>
          <w:szCs w:val="20"/>
        </w:rPr>
        <w:t xml:space="preserve">in the range </w:t>
      </w:r>
      <w:r w:rsidR="007641C4" w:rsidRPr="007C0F61">
        <w:rPr>
          <w:rFonts w:asciiTheme="minorHAnsi" w:hAnsiTheme="minorHAnsi" w:cstheme="minorHAnsi"/>
          <w:sz w:val="20"/>
          <w:szCs w:val="20"/>
        </w:rPr>
        <w:t xml:space="preserve">of 28% to 36%, while non-conforming </w:t>
      </w:r>
      <w:r w:rsidR="0000113B" w:rsidRPr="007C0F61">
        <w:rPr>
          <w:rFonts w:asciiTheme="minorHAnsi" w:hAnsiTheme="minorHAnsi" w:cstheme="minorHAnsi"/>
          <w:sz w:val="20"/>
          <w:szCs w:val="20"/>
        </w:rPr>
        <w:t>lenders like private mortgage lenders (Quicken Loans) will be more flexible and are likely to accept a range of 36% to 44%</w:t>
      </w:r>
      <w:r w:rsidR="00530D53" w:rsidRPr="007C0F61">
        <w:rPr>
          <w:rFonts w:asciiTheme="minorHAnsi" w:hAnsiTheme="minorHAnsi" w:cstheme="minorHAnsi"/>
          <w:sz w:val="20"/>
          <w:szCs w:val="20"/>
        </w:rPr>
        <w:t xml:space="preserve"> [</w:t>
      </w:r>
      <w:r w:rsidR="006E4E9E" w:rsidRPr="007C0F61">
        <w:rPr>
          <w:rFonts w:asciiTheme="minorHAnsi" w:hAnsiTheme="minorHAnsi" w:cstheme="minorHAnsi"/>
          <w:sz w:val="20"/>
          <w:szCs w:val="20"/>
        </w:rPr>
        <w:t>2</w:t>
      </w:r>
      <w:r w:rsidR="00530D53" w:rsidRPr="007C0F61">
        <w:rPr>
          <w:rFonts w:asciiTheme="minorHAnsi" w:hAnsiTheme="minorHAnsi" w:cstheme="minorHAnsi"/>
          <w:sz w:val="20"/>
          <w:szCs w:val="20"/>
        </w:rPr>
        <w:t>]</w:t>
      </w:r>
      <w:r w:rsidR="0000113B" w:rsidRPr="007C0F61">
        <w:rPr>
          <w:rFonts w:asciiTheme="minorHAnsi" w:hAnsiTheme="minorHAnsi" w:cstheme="minorHAnsi"/>
          <w:sz w:val="20"/>
          <w:szCs w:val="20"/>
        </w:rPr>
        <w:t>. To include, all such lenders in our research we are restricting Other Obligations to 50%. This gives us our final sample of 1,916 individuals, which comprise of 85% Non-Hispanic Whites, 5.37% Hispanics and 9.65% Non-Hispanic Blacks.</w:t>
      </w:r>
    </w:p>
    <w:p w14:paraId="5DEA324B" w14:textId="77777777" w:rsidR="00100C03" w:rsidRPr="007C0F61" w:rsidRDefault="00100C03" w:rsidP="00522819">
      <w:pPr>
        <w:jc w:val="both"/>
        <w:rPr>
          <w:rFonts w:asciiTheme="minorHAnsi" w:hAnsiTheme="minorHAnsi" w:cstheme="minorHAnsi"/>
          <w:sz w:val="20"/>
          <w:szCs w:val="20"/>
        </w:rPr>
      </w:pPr>
    </w:p>
    <w:tbl>
      <w:tblPr>
        <w:tblW w:w="9346" w:type="dxa"/>
        <w:jc w:val="center"/>
        <w:tblBorders>
          <w:top w:val="nil"/>
          <w:left w:val="nil"/>
          <w:right w:val="nil"/>
        </w:tblBorders>
        <w:tblLayout w:type="fixed"/>
        <w:tblLook w:val="0000" w:firstRow="0" w:lastRow="0" w:firstColumn="0" w:lastColumn="0" w:noHBand="0" w:noVBand="0"/>
      </w:tblPr>
      <w:tblGrid>
        <w:gridCol w:w="2693"/>
        <w:gridCol w:w="1266"/>
        <w:gridCol w:w="1985"/>
        <w:gridCol w:w="1559"/>
        <w:gridCol w:w="1843"/>
      </w:tblGrid>
      <w:tr w:rsidR="00100C03" w:rsidRPr="007C0F61" w14:paraId="5FD2B127" w14:textId="77777777" w:rsidTr="00D543D3">
        <w:trPr>
          <w:jc w:val="center"/>
        </w:trPr>
        <w:tc>
          <w:tcPr>
            <w:tcW w:w="9346" w:type="dxa"/>
            <w:gridSpan w:val="5"/>
            <w:tcBorders>
              <w:top w:val="single" w:sz="8" w:space="0" w:color="000000"/>
              <w:left w:val="single" w:sz="8" w:space="0" w:color="000000"/>
              <w:bottom w:val="single" w:sz="4" w:space="0" w:color="auto"/>
              <w:right w:val="single" w:sz="8" w:space="0" w:color="000000"/>
            </w:tcBorders>
          </w:tcPr>
          <w:p w14:paraId="3B3E4B11"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Table 1: Descriptive Statistics</w:t>
            </w:r>
          </w:p>
        </w:tc>
      </w:tr>
      <w:tr w:rsidR="00100C03" w:rsidRPr="007C0F61" w14:paraId="7BADFEA8" w14:textId="77777777" w:rsidTr="00D543D3">
        <w:tblPrEx>
          <w:tblBorders>
            <w:top w:val="none" w:sz="0" w:space="0" w:color="auto"/>
          </w:tblBorders>
        </w:tblPrEx>
        <w:trPr>
          <w:jc w:val="center"/>
        </w:trPr>
        <w:tc>
          <w:tcPr>
            <w:tcW w:w="2693" w:type="dxa"/>
            <w:tcBorders>
              <w:top w:val="single" w:sz="4" w:space="0" w:color="auto"/>
              <w:left w:val="single" w:sz="8" w:space="0" w:color="000000"/>
            </w:tcBorders>
            <w:shd w:val="clear" w:color="auto" w:fill="FFFFFF"/>
            <w:vAlign w:val="center"/>
          </w:tcPr>
          <w:p w14:paraId="30E3072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Variable</w:t>
            </w:r>
          </w:p>
        </w:tc>
        <w:tc>
          <w:tcPr>
            <w:tcW w:w="1266" w:type="dxa"/>
            <w:tcBorders>
              <w:top w:val="single" w:sz="4" w:space="0" w:color="auto"/>
            </w:tcBorders>
            <w:shd w:val="clear" w:color="auto" w:fill="FFFFFF"/>
          </w:tcPr>
          <w:p w14:paraId="1097134E"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Overall</w:t>
            </w:r>
          </w:p>
        </w:tc>
        <w:tc>
          <w:tcPr>
            <w:tcW w:w="1985" w:type="dxa"/>
            <w:tcBorders>
              <w:top w:val="single" w:sz="4" w:space="0" w:color="auto"/>
            </w:tcBorders>
            <w:shd w:val="clear" w:color="auto" w:fill="FFFFFF"/>
            <w:vAlign w:val="center"/>
          </w:tcPr>
          <w:p w14:paraId="0ECC5588"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Non-Hispanic White</w:t>
            </w:r>
          </w:p>
        </w:tc>
        <w:tc>
          <w:tcPr>
            <w:tcW w:w="1559" w:type="dxa"/>
            <w:tcBorders>
              <w:top w:val="single" w:sz="4" w:space="0" w:color="auto"/>
            </w:tcBorders>
            <w:shd w:val="clear" w:color="auto" w:fill="FFFFFF"/>
            <w:vAlign w:val="center"/>
          </w:tcPr>
          <w:p w14:paraId="4FF9ECB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Hispanic</w:t>
            </w:r>
          </w:p>
        </w:tc>
        <w:tc>
          <w:tcPr>
            <w:tcW w:w="1843" w:type="dxa"/>
            <w:tcBorders>
              <w:top w:val="single" w:sz="4" w:space="0" w:color="auto"/>
              <w:right w:val="single" w:sz="8" w:space="0" w:color="000000"/>
            </w:tcBorders>
            <w:shd w:val="clear" w:color="auto" w:fill="FFFFFF"/>
            <w:vAlign w:val="center"/>
          </w:tcPr>
          <w:p w14:paraId="41FC008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Non-Hispanic Black</w:t>
            </w:r>
          </w:p>
        </w:tc>
      </w:tr>
      <w:tr w:rsidR="00100C03" w:rsidRPr="007C0F61" w14:paraId="6C4622D4"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5D0F6046"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 xml:space="preserve">Loan Amount </w:t>
            </w:r>
            <w:proofErr w:type="gramStart"/>
            <w:r w:rsidRPr="007C0F61">
              <w:rPr>
                <w:rFonts w:asciiTheme="minorHAnsi" w:eastAsiaTheme="minorHAnsi" w:hAnsiTheme="minorHAnsi" w:cstheme="minorHAnsi"/>
                <w:b/>
                <w:color w:val="000000"/>
                <w:sz w:val="20"/>
                <w:szCs w:val="20"/>
                <w:lang w:eastAsia="en-US"/>
              </w:rPr>
              <w:t>To</w:t>
            </w:r>
            <w:proofErr w:type="gramEnd"/>
            <w:r w:rsidRPr="007C0F61">
              <w:rPr>
                <w:rFonts w:asciiTheme="minorHAnsi" w:eastAsiaTheme="minorHAnsi" w:hAnsiTheme="minorHAnsi" w:cstheme="minorHAnsi"/>
                <w:b/>
                <w:color w:val="000000"/>
                <w:sz w:val="20"/>
                <w:szCs w:val="20"/>
                <w:lang w:eastAsia="en-US"/>
              </w:rPr>
              <w:t xml:space="preserve"> Value (in %)</w:t>
            </w:r>
          </w:p>
        </w:tc>
        <w:tc>
          <w:tcPr>
            <w:tcW w:w="1266" w:type="dxa"/>
            <w:shd w:val="clear" w:color="auto" w:fill="FFFFFF"/>
          </w:tcPr>
          <w:p w14:paraId="31ED5757"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c>
          <w:tcPr>
            <w:tcW w:w="1985" w:type="dxa"/>
            <w:shd w:val="clear" w:color="auto" w:fill="FFFFFF"/>
            <w:vAlign w:val="center"/>
          </w:tcPr>
          <w:p w14:paraId="793C6C62"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c>
          <w:tcPr>
            <w:tcW w:w="1559" w:type="dxa"/>
            <w:shd w:val="clear" w:color="auto" w:fill="FFFFFF"/>
            <w:vAlign w:val="center"/>
          </w:tcPr>
          <w:p w14:paraId="1E16EC41"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c>
          <w:tcPr>
            <w:tcW w:w="1843" w:type="dxa"/>
            <w:tcBorders>
              <w:right w:val="single" w:sz="8" w:space="0" w:color="000000"/>
            </w:tcBorders>
            <w:shd w:val="clear" w:color="auto" w:fill="FFFFFF"/>
            <w:vAlign w:val="center"/>
          </w:tcPr>
          <w:p w14:paraId="70724ECE"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r>
      <w:tr w:rsidR="00100C03" w:rsidRPr="007C0F61" w14:paraId="01E6C810"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59B311BB"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       Mean (SD)</w:t>
            </w:r>
          </w:p>
        </w:tc>
        <w:tc>
          <w:tcPr>
            <w:tcW w:w="1266" w:type="dxa"/>
            <w:shd w:val="clear" w:color="auto" w:fill="FFFFFF"/>
          </w:tcPr>
          <w:p w14:paraId="45BC105F"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76.26 (17)</w:t>
            </w:r>
          </w:p>
        </w:tc>
        <w:tc>
          <w:tcPr>
            <w:tcW w:w="1985" w:type="dxa"/>
            <w:shd w:val="clear" w:color="auto" w:fill="FFFFFF"/>
            <w:vAlign w:val="center"/>
          </w:tcPr>
          <w:p w14:paraId="5ACCD364"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75.01 (17.41)</w:t>
            </w:r>
          </w:p>
        </w:tc>
        <w:tc>
          <w:tcPr>
            <w:tcW w:w="1559" w:type="dxa"/>
            <w:shd w:val="clear" w:color="auto" w:fill="FFFFFF"/>
            <w:vAlign w:val="center"/>
          </w:tcPr>
          <w:p w14:paraId="7ED69D15"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84.24 (11.47)</w:t>
            </w:r>
          </w:p>
        </w:tc>
        <w:tc>
          <w:tcPr>
            <w:tcW w:w="1843" w:type="dxa"/>
            <w:tcBorders>
              <w:right w:val="single" w:sz="8" w:space="0" w:color="000000"/>
            </w:tcBorders>
            <w:shd w:val="clear" w:color="auto" w:fill="FFFFFF"/>
            <w:vAlign w:val="center"/>
          </w:tcPr>
          <w:p w14:paraId="0A553534"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82.84 (12.81)</w:t>
            </w:r>
          </w:p>
        </w:tc>
      </w:tr>
      <w:tr w:rsidR="00100C03" w:rsidRPr="007C0F61" w14:paraId="649958AA"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0D95BBD2"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       Min - Max</w:t>
            </w:r>
          </w:p>
        </w:tc>
        <w:tc>
          <w:tcPr>
            <w:tcW w:w="1266" w:type="dxa"/>
            <w:shd w:val="clear" w:color="auto" w:fill="FFFFFF"/>
          </w:tcPr>
          <w:p w14:paraId="44532EFF"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2.11 – 120</w:t>
            </w:r>
          </w:p>
        </w:tc>
        <w:tc>
          <w:tcPr>
            <w:tcW w:w="1985" w:type="dxa"/>
            <w:shd w:val="clear" w:color="auto" w:fill="FFFFFF"/>
            <w:vAlign w:val="center"/>
          </w:tcPr>
          <w:p w14:paraId="463ED6F6"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2.11 – 120</w:t>
            </w:r>
          </w:p>
        </w:tc>
        <w:tc>
          <w:tcPr>
            <w:tcW w:w="1559" w:type="dxa"/>
            <w:shd w:val="clear" w:color="auto" w:fill="FFFFFF"/>
            <w:vAlign w:val="center"/>
          </w:tcPr>
          <w:p w14:paraId="73C96B8A"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40.09 – 111.43</w:t>
            </w:r>
          </w:p>
        </w:tc>
        <w:tc>
          <w:tcPr>
            <w:tcW w:w="1843" w:type="dxa"/>
            <w:tcBorders>
              <w:right w:val="single" w:sz="8" w:space="0" w:color="000000"/>
            </w:tcBorders>
            <w:shd w:val="clear" w:color="auto" w:fill="FFFFFF"/>
            <w:vAlign w:val="center"/>
          </w:tcPr>
          <w:p w14:paraId="112F749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28.99 – 100.35</w:t>
            </w:r>
          </w:p>
        </w:tc>
      </w:tr>
      <w:tr w:rsidR="00100C03" w:rsidRPr="007C0F61" w14:paraId="195426FE"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69EB6359"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b/>
                <w:color w:val="000000"/>
                <w:sz w:val="20"/>
                <w:szCs w:val="20"/>
                <w:lang w:eastAsia="en-US"/>
              </w:rPr>
            </w:pPr>
            <w:r w:rsidRPr="007C0F61">
              <w:rPr>
                <w:rFonts w:asciiTheme="minorHAnsi" w:eastAsiaTheme="minorHAnsi" w:hAnsiTheme="minorHAnsi" w:cstheme="minorHAnsi"/>
                <w:b/>
                <w:color w:val="000000"/>
                <w:sz w:val="20"/>
                <w:szCs w:val="20"/>
                <w:lang w:eastAsia="en-US"/>
              </w:rPr>
              <w:t>Other Obligations (in %)</w:t>
            </w:r>
          </w:p>
        </w:tc>
        <w:tc>
          <w:tcPr>
            <w:tcW w:w="1266" w:type="dxa"/>
            <w:shd w:val="clear" w:color="auto" w:fill="FFFFFF"/>
          </w:tcPr>
          <w:p w14:paraId="064F3543"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c>
          <w:tcPr>
            <w:tcW w:w="1985" w:type="dxa"/>
            <w:shd w:val="clear" w:color="auto" w:fill="FFFFFF"/>
            <w:vAlign w:val="center"/>
          </w:tcPr>
          <w:p w14:paraId="27BAFC58"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c>
          <w:tcPr>
            <w:tcW w:w="1559" w:type="dxa"/>
            <w:shd w:val="clear" w:color="auto" w:fill="FFFFFF"/>
            <w:vAlign w:val="center"/>
          </w:tcPr>
          <w:p w14:paraId="4B6F8DD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c>
          <w:tcPr>
            <w:tcW w:w="1843" w:type="dxa"/>
            <w:tcBorders>
              <w:right w:val="single" w:sz="8" w:space="0" w:color="000000"/>
            </w:tcBorders>
            <w:shd w:val="clear" w:color="auto" w:fill="FFFFFF"/>
            <w:vAlign w:val="center"/>
          </w:tcPr>
          <w:p w14:paraId="11A24595"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p>
        </w:tc>
      </w:tr>
      <w:tr w:rsidR="00100C03" w:rsidRPr="007C0F61" w14:paraId="151E7D0A"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4C68AB26"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       Mean (SD)</w:t>
            </w:r>
          </w:p>
        </w:tc>
        <w:tc>
          <w:tcPr>
            <w:tcW w:w="1266" w:type="dxa"/>
            <w:shd w:val="clear" w:color="auto" w:fill="FFFFFF"/>
          </w:tcPr>
          <w:p w14:paraId="667AB894"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31.84 (7.27)</w:t>
            </w:r>
          </w:p>
        </w:tc>
        <w:tc>
          <w:tcPr>
            <w:tcW w:w="1985" w:type="dxa"/>
            <w:shd w:val="clear" w:color="auto" w:fill="FFFFFF"/>
            <w:vAlign w:val="center"/>
          </w:tcPr>
          <w:p w14:paraId="0D07F590"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31.53 (7.22)</w:t>
            </w:r>
          </w:p>
        </w:tc>
        <w:tc>
          <w:tcPr>
            <w:tcW w:w="1559" w:type="dxa"/>
            <w:shd w:val="clear" w:color="auto" w:fill="FFFFFF"/>
            <w:vAlign w:val="center"/>
          </w:tcPr>
          <w:p w14:paraId="05644918"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32.73 (7.48)</w:t>
            </w:r>
          </w:p>
        </w:tc>
        <w:tc>
          <w:tcPr>
            <w:tcW w:w="1843" w:type="dxa"/>
            <w:tcBorders>
              <w:right w:val="single" w:sz="8" w:space="0" w:color="000000"/>
            </w:tcBorders>
            <w:shd w:val="clear" w:color="auto" w:fill="FFFFFF"/>
            <w:vAlign w:val="center"/>
          </w:tcPr>
          <w:p w14:paraId="7354BE89"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34.07 (7.16)</w:t>
            </w:r>
          </w:p>
        </w:tc>
      </w:tr>
      <w:tr w:rsidR="00100C03" w:rsidRPr="007C0F61" w14:paraId="5D9AD58F"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4DAFB86E"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       Min - Max</w:t>
            </w:r>
          </w:p>
        </w:tc>
        <w:tc>
          <w:tcPr>
            <w:tcW w:w="1266" w:type="dxa"/>
            <w:shd w:val="clear" w:color="auto" w:fill="FFFFFF"/>
          </w:tcPr>
          <w:p w14:paraId="69433EF5"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 – 49</w:t>
            </w:r>
          </w:p>
        </w:tc>
        <w:tc>
          <w:tcPr>
            <w:tcW w:w="1985" w:type="dxa"/>
            <w:shd w:val="clear" w:color="auto" w:fill="FFFFFF"/>
            <w:vAlign w:val="center"/>
          </w:tcPr>
          <w:p w14:paraId="53D32587"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 – 49</w:t>
            </w:r>
          </w:p>
        </w:tc>
        <w:tc>
          <w:tcPr>
            <w:tcW w:w="1559" w:type="dxa"/>
            <w:shd w:val="clear" w:color="auto" w:fill="FFFFFF"/>
            <w:vAlign w:val="center"/>
          </w:tcPr>
          <w:p w14:paraId="665394CA"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14.60 – 49</w:t>
            </w:r>
          </w:p>
        </w:tc>
        <w:tc>
          <w:tcPr>
            <w:tcW w:w="1843" w:type="dxa"/>
            <w:tcBorders>
              <w:right w:val="single" w:sz="8" w:space="0" w:color="000000"/>
            </w:tcBorders>
            <w:shd w:val="clear" w:color="auto" w:fill="FFFFFF"/>
            <w:vAlign w:val="center"/>
          </w:tcPr>
          <w:p w14:paraId="2F80070A"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5.6 – 48</w:t>
            </w:r>
          </w:p>
        </w:tc>
      </w:tr>
      <w:tr w:rsidR="00100C03" w:rsidRPr="007C0F61" w14:paraId="1B514954"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17FFC15E"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Approve (%)</w:t>
            </w:r>
          </w:p>
        </w:tc>
        <w:tc>
          <w:tcPr>
            <w:tcW w:w="1266" w:type="dxa"/>
            <w:shd w:val="clear" w:color="auto" w:fill="FFFFFF"/>
          </w:tcPr>
          <w:p w14:paraId="49A9F4A3"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88.57%</w:t>
            </w:r>
          </w:p>
        </w:tc>
        <w:tc>
          <w:tcPr>
            <w:tcW w:w="1985" w:type="dxa"/>
            <w:shd w:val="clear" w:color="auto" w:fill="FFFFFF"/>
            <w:vAlign w:val="center"/>
          </w:tcPr>
          <w:p w14:paraId="181AE19E"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91.46%</w:t>
            </w:r>
          </w:p>
        </w:tc>
        <w:tc>
          <w:tcPr>
            <w:tcW w:w="1559" w:type="dxa"/>
            <w:shd w:val="clear" w:color="auto" w:fill="FFFFFF"/>
            <w:vAlign w:val="center"/>
          </w:tcPr>
          <w:p w14:paraId="5A4E1A0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79.61%</w:t>
            </w:r>
          </w:p>
        </w:tc>
        <w:tc>
          <w:tcPr>
            <w:tcW w:w="1843" w:type="dxa"/>
            <w:tcBorders>
              <w:right w:val="single" w:sz="8" w:space="0" w:color="000000"/>
            </w:tcBorders>
            <w:shd w:val="clear" w:color="auto" w:fill="FFFFFF"/>
            <w:vAlign w:val="center"/>
          </w:tcPr>
          <w:p w14:paraId="014A52A6"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68.11%</w:t>
            </w:r>
          </w:p>
        </w:tc>
      </w:tr>
      <w:tr w:rsidR="00100C03" w:rsidRPr="007C0F61" w14:paraId="442FE9C0" w14:textId="77777777" w:rsidTr="00D543D3">
        <w:tblPrEx>
          <w:tblBorders>
            <w:top w:val="none" w:sz="0" w:space="0" w:color="auto"/>
          </w:tblBorders>
        </w:tblPrEx>
        <w:trPr>
          <w:jc w:val="center"/>
        </w:trPr>
        <w:tc>
          <w:tcPr>
            <w:tcW w:w="2693" w:type="dxa"/>
            <w:tcBorders>
              <w:left w:val="single" w:sz="8" w:space="0" w:color="000000"/>
            </w:tcBorders>
            <w:shd w:val="clear" w:color="auto" w:fill="FFFFFF"/>
            <w:vAlign w:val="center"/>
          </w:tcPr>
          <w:p w14:paraId="1876D6A3"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Credit Guidelines (%)</w:t>
            </w:r>
          </w:p>
        </w:tc>
        <w:tc>
          <w:tcPr>
            <w:tcW w:w="1266" w:type="dxa"/>
            <w:shd w:val="clear" w:color="auto" w:fill="FFFFFF"/>
          </w:tcPr>
          <w:p w14:paraId="2214F642"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91.96%</w:t>
            </w:r>
          </w:p>
        </w:tc>
        <w:tc>
          <w:tcPr>
            <w:tcW w:w="1985" w:type="dxa"/>
            <w:shd w:val="clear" w:color="auto" w:fill="FFFFFF"/>
            <w:vAlign w:val="center"/>
          </w:tcPr>
          <w:p w14:paraId="1938054D"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94.35%</w:t>
            </w:r>
          </w:p>
        </w:tc>
        <w:tc>
          <w:tcPr>
            <w:tcW w:w="1559" w:type="dxa"/>
            <w:shd w:val="clear" w:color="auto" w:fill="FFFFFF"/>
            <w:vAlign w:val="center"/>
          </w:tcPr>
          <w:p w14:paraId="15302977"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86.41%</w:t>
            </w:r>
          </w:p>
        </w:tc>
        <w:tc>
          <w:tcPr>
            <w:tcW w:w="1843" w:type="dxa"/>
            <w:tcBorders>
              <w:right w:val="single" w:sz="8" w:space="0" w:color="000000"/>
            </w:tcBorders>
            <w:shd w:val="clear" w:color="auto" w:fill="FFFFFF"/>
            <w:vAlign w:val="center"/>
          </w:tcPr>
          <w:p w14:paraId="73B364D3"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74.05%</w:t>
            </w:r>
          </w:p>
        </w:tc>
      </w:tr>
      <w:tr w:rsidR="00100C03" w:rsidRPr="007C0F61" w14:paraId="3A12FE77" w14:textId="77777777" w:rsidTr="00D543D3">
        <w:trPr>
          <w:jc w:val="center"/>
        </w:trPr>
        <w:tc>
          <w:tcPr>
            <w:tcW w:w="2693" w:type="dxa"/>
            <w:tcBorders>
              <w:left w:val="single" w:sz="8" w:space="0" w:color="000000"/>
            </w:tcBorders>
            <w:shd w:val="clear" w:color="auto" w:fill="FFFFFF"/>
            <w:vAlign w:val="center"/>
          </w:tcPr>
          <w:p w14:paraId="7D274CFA"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 (%)</w:t>
            </w:r>
          </w:p>
        </w:tc>
        <w:tc>
          <w:tcPr>
            <w:tcW w:w="1266" w:type="dxa"/>
            <w:shd w:val="clear" w:color="auto" w:fill="FFFFFF"/>
          </w:tcPr>
          <w:p w14:paraId="67C1180A"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66.13%</w:t>
            </w:r>
          </w:p>
        </w:tc>
        <w:tc>
          <w:tcPr>
            <w:tcW w:w="1985" w:type="dxa"/>
            <w:shd w:val="clear" w:color="auto" w:fill="FFFFFF"/>
            <w:vAlign w:val="center"/>
          </w:tcPr>
          <w:p w14:paraId="75C43655"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66.15%</w:t>
            </w:r>
          </w:p>
        </w:tc>
        <w:tc>
          <w:tcPr>
            <w:tcW w:w="1559" w:type="dxa"/>
            <w:shd w:val="clear" w:color="auto" w:fill="FFFFFF"/>
            <w:vAlign w:val="center"/>
          </w:tcPr>
          <w:p w14:paraId="03656101"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71.84%</w:t>
            </w:r>
          </w:p>
        </w:tc>
        <w:tc>
          <w:tcPr>
            <w:tcW w:w="1843" w:type="dxa"/>
            <w:tcBorders>
              <w:right w:val="single" w:sz="8" w:space="0" w:color="000000"/>
            </w:tcBorders>
            <w:shd w:val="clear" w:color="auto" w:fill="FFFFFF"/>
            <w:vAlign w:val="center"/>
          </w:tcPr>
          <w:p w14:paraId="63471C3B"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62.7%</w:t>
            </w:r>
          </w:p>
        </w:tc>
      </w:tr>
      <w:tr w:rsidR="00100C03" w:rsidRPr="007C0F61" w14:paraId="65BA0894" w14:textId="77777777" w:rsidTr="00D543D3">
        <w:trPr>
          <w:jc w:val="center"/>
        </w:trPr>
        <w:tc>
          <w:tcPr>
            <w:tcW w:w="2693" w:type="dxa"/>
            <w:tcBorders>
              <w:left w:val="single" w:sz="8" w:space="0" w:color="000000"/>
              <w:bottom w:val="single" w:sz="8" w:space="0" w:color="000000"/>
            </w:tcBorders>
            <w:shd w:val="clear" w:color="auto" w:fill="FFFFFF"/>
            <w:vAlign w:val="center"/>
          </w:tcPr>
          <w:p w14:paraId="05B8FED0" w14:textId="77777777" w:rsidR="00100C03" w:rsidRPr="007C0F61" w:rsidRDefault="00100C03" w:rsidP="00D543D3">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Sample Size (n)</w:t>
            </w:r>
          </w:p>
        </w:tc>
        <w:tc>
          <w:tcPr>
            <w:tcW w:w="1266" w:type="dxa"/>
            <w:tcBorders>
              <w:bottom w:val="single" w:sz="8" w:space="0" w:color="000000"/>
            </w:tcBorders>
            <w:shd w:val="clear" w:color="auto" w:fill="FFFFFF"/>
          </w:tcPr>
          <w:p w14:paraId="25143467"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1916</w:t>
            </w:r>
          </w:p>
        </w:tc>
        <w:tc>
          <w:tcPr>
            <w:tcW w:w="1985" w:type="dxa"/>
            <w:tcBorders>
              <w:bottom w:val="single" w:sz="8" w:space="0" w:color="000000"/>
            </w:tcBorders>
            <w:shd w:val="clear" w:color="auto" w:fill="FFFFFF"/>
            <w:vAlign w:val="center"/>
          </w:tcPr>
          <w:p w14:paraId="132B07CC"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1628</w:t>
            </w:r>
          </w:p>
        </w:tc>
        <w:tc>
          <w:tcPr>
            <w:tcW w:w="1559" w:type="dxa"/>
            <w:tcBorders>
              <w:bottom w:val="single" w:sz="8" w:space="0" w:color="000000"/>
            </w:tcBorders>
            <w:shd w:val="clear" w:color="auto" w:fill="FFFFFF"/>
            <w:vAlign w:val="center"/>
          </w:tcPr>
          <w:p w14:paraId="74D6CF4F"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103</w:t>
            </w:r>
          </w:p>
        </w:tc>
        <w:tc>
          <w:tcPr>
            <w:tcW w:w="1843" w:type="dxa"/>
            <w:tcBorders>
              <w:bottom w:val="single" w:sz="8" w:space="0" w:color="000000"/>
              <w:right w:val="single" w:sz="8" w:space="0" w:color="000000"/>
            </w:tcBorders>
            <w:shd w:val="clear" w:color="auto" w:fill="FFFFFF"/>
            <w:vAlign w:val="center"/>
          </w:tcPr>
          <w:p w14:paraId="6FDBFE5C" w14:textId="77777777" w:rsidR="00100C03" w:rsidRPr="007C0F61" w:rsidRDefault="00100C03" w:rsidP="00D543D3">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185</w:t>
            </w:r>
          </w:p>
        </w:tc>
      </w:tr>
    </w:tbl>
    <w:p w14:paraId="483CFCB6" w14:textId="4581CE01" w:rsidR="002D66F2" w:rsidRPr="007C0F61" w:rsidRDefault="002D66F2" w:rsidP="005F6D24">
      <w:pPr>
        <w:pStyle w:val="NoSpacing"/>
        <w:jc w:val="both"/>
        <w:rPr>
          <w:rFonts w:cstheme="minorHAnsi"/>
          <w:sz w:val="20"/>
          <w:szCs w:val="20"/>
        </w:rPr>
      </w:pPr>
    </w:p>
    <w:p w14:paraId="1955252E" w14:textId="6F1A7C90" w:rsidR="009A1712" w:rsidRPr="007C0F61" w:rsidRDefault="005F6D24" w:rsidP="005F6D24">
      <w:pPr>
        <w:pStyle w:val="NoSpacing"/>
        <w:jc w:val="both"/>
        <w:rPr>
          <w:rFonts w:cstheme="minorHAnsi"/>
          <w:sz w:val="20"/>
          <w:szCs w:val="20"/>
        </w:rPr>
      </w:pPr>
      <w:r w:rsidRPr="007C0F61">
        <w:rPr>
          <w:rFonts w:cstheme="minorHAnsi"/>
          <w:sz w:val="20"/>
          <w:szCs w:val="20"/>
        </w:rPr>
        <w:t xml:space="preserve">Table 1 represents the descriptive statistics </w:t>
      </w:r>
      <w:r w:rsidR="00EE327C" w:rsidRPr="007C0F61">
        <w:rPr>
          <w:rFonts w:cstheme="minorHAnsi"/>
          <w:sz w:val="20"/>
          <w:szCs w:val="20"/>
        </w:rPr>
        <w:t xml:space="preserve">of our overall </w:t>
      </w:r>
      <w:r w:rsidRPr="007C0F61">
        <w:rPr>
          <w:rFonts w:cstheme="minorHAnsi"/>
          <w:sz w:val="20"/>
          <w:szCs w:val="20"/>
        </w:rPr>
        <w:t>sample dataset</w:t>
      </w:r>
      <w:r w:rsidR="002F1F20" w:rsidRPr="007C0F61">
        <w:rPr>
          <w:rFonts w:cstheme="minorHAnsi"/>
          <w:sz w:val="20"/>
          <w:szCs w:val="20"/>
        </w:rPr>
        <w:t xml:space="preserve"> and </w:t>
      </w:r>
      <w:r w:rsidRPr="007C0F61">
        <w:rPr>
          <w:rFonts w:cstheme="minorHAnsi"/>
          <w:sz w:val="20"/>
          <w:szCs w:val="20"/>
        </w:rPr>
        <w:t xml:space="preserve">by race/ethnicity. In this table, we observe that </w:t>
      </w:r>
      <w:r w:rsidR="003D1802" w:rsidRPr="007C0F61">
        <w:rPr>
          <w:rFonts w:cstheme="minorHAnsi"/>
          <w:sz w:val="20"/>
          <w:szCs w:val="20"/>
        </w:rPr>
        <w:t>on an average loan-</w:t>
      </w:r>
      <w:r w:rsidR="003D247A" w:rsidRPr="007C0F61">
        <w:rPr>
          <w:rFonts w:cstheme="minorHAnsi"/>
          <w:sz w:val="20"/>
          <w:szCs w:val="20"/>
        </w:rPr>
        <w:t>to-value is smallest for</w:t>
      </w:r>
      <w:r w:rsidR="003D1802" w:rsidRPr="007C0F61">
        <w:rPr>
          <w:rFonts w:cstheme="minorHAnsi"/>
          <w:sz w:val="20"/>
          <w:szCs w:val="20"/>
        </w:rPr>
        <w:t xml:space="preserve"> </w:t>
      </w:r>
      <w:proofErr w:type="gramStart"/>
      <w:r w:rsidR="003D1802" w:rsidRPr="007C0F61">
        <w:rPr>
          <w:rFonts w:cstheme="minorHAnsi"/>
          <w:sz w:val="20"/>
          <w:szCs w:val="20"/>
        </w:rPr>
        <w:t>Whites(</w:t>
      </w:r>
      <w:proofErr w:type="gramEnd"/>
      <w:r w:rsidR="003D1802" w:rsidRPr="007C0F61">
        <w:rPr>
          <w:rFonts w:cstheme="minorHAnsi"/>
          <w:sz w:val="20"/>
          <w:szCs w:val="20"/>
        </w:rPr>
        <w:t>75%) in comparison to Blacks(82.8%) and Hispanic(84.2%) individuals. Intuitively this makes sense as White loan applicants</w:t>
      </w:r>
      <w:r w:rsidR="00F84E0C">
        <w:rPr>
          <w:rFonts w:cstheme="minorHAnsi"/>
          <w:sz w:val="20"/>
          <w:szCs w:val="20"/>
        </w:rPr>
        <w:t>,</w:t>
      </w:r>
      <w:r w:rsidR="003D1802" w:rsidRPr="007C0F61">
        <w:rPr>
          <w:rFonts w:cstheme="minorHAnsi"/>
          <w:sz w:val="20"/>
          <w:szCs w:val="20"/>
        </w:rPr>
        <w:t xml:space="preserve"> in general</w:t>
      </w:r>
      <w:r w:rsidR="00F84E0C">
        <w:rPr>
          <w:rFonts w:cstheme="minorHAnsi"/>
          <w:sz w:val="20"/>
          <w:szCs w:val="20"/>
        </w:rPr>
        <w:t>,</w:t>
      </w:r>
      <w:r w:rsidR="003D1802" w:rsidRPr="007C0F61">
        <w:rPr>
          <w:rFonts w:cstheme="minorHAnsi"/>
          <w:sz w:val="20"/>
          <w:szCs w:val="20"/>
        </w:rPr>
        <w:t xml:space="preserve"> are wealthier, thus have more stakes in the borrowed property.</w:t>
      </w:r>
      <w:r w:rsidR="006D4836" w:rsidRPr="007C0F61">
        <w:rPr>
          <w:rFonts w:cstheme="minorHAnsi"/>
          <w:sz w:val="20"/>
          <w:szCs w:val="20"/>
        </w:rPr>
        <w:t xml:space="preserve"> </w:t>
      </w:r>
    </w:p>
    <w:p w14:paraId="340FF212" w14:textId="77777777" w:rsidR="009A1712" w:rsidRPr="007C0F61" w:rsidRDefault="009A1712" w:rsidP="005F6D24">
      <w:pPr>
        <w:pStyle w:val="NoSpacing"/>
        <w:jc w:val="both"/>
        <w:rPr>
          <w:rFonts w:cstheme="minorHAnsi"/>
          <w:sz w:val="20"/>
          <w:szCs w:val="20"/>
        </w:rPr>
      </w:pPr>
    </w:p>
    <w:p w14:paraId="74F12A21" w14:textId="649B49BC" w:rsidR="000240FC" w:rsidRPr="007C0F61" w:rsidRDefault="000240FC" w:rsidP="000240FC">
      <w:pPr>
        <w:pStyle w:val="NoSpacing"/>
        <w:jc w:val="both"/>
        <w:rPr>
          <w:rFonts w:cstheme="minorHAnsi"/>
          <w:sz w:val="20"/>
          <w:szCs w:val="20"/>
        </w:rPr>
      </w:pPr>
      <w:r w:rsidRPr="007C0F61">
        <w:rPr>
          <w:rFonts w:cstheme="minorHAnsi"/>
          <w:sz w:val="20"/>
          <w:szCs w:val="20"/>
        </w:rPr>
        <w:t>Furthermore, we observe that the minimum LTV for</w:t>
      </w:r>
      <w:r w:rsidR="009A1712" w:rsidRPr="007C0F61">
        <w:rPr>
          <w:rFonts w:cstheme="minorHAnsi"/>
          <w:sz w:val="20"/>
          <w:szCs w:val="20"/>
        </w:rPr>
        <w:t xml:space="preserve"> White applicants </w:t>
      </w:r>
      <w:r w:rsidRPr="007C0F61">
        <w:rPr>
          <w:rFonts w:cstheme="minorHAnsi"/>
          <w:sz w:val="20"/>
          <w:szCs w:val="20"/>
        </w:rPr>
        <w:t xml:space="preserve">is very small 2.11% in comparison to other races i.e. </w:t>
      </w:r>
      <w:r w:rsidR="009A1712" w:rsidRPr="007C0F61">
        <w:rPr>
          <w:rFonts w:cstheme="minorHAnsi"/>
          <w:sz w:val="20"/>
          <w:szCs w:val="20"/>
        </w:rPr>
        <w:t>1.35% of White applicants applied for loan less than 3 standard deviations i.e. LTV &lt; 22.77%.</w:t>
      </w:r>
      <w:r w:rsidRPr="007C0F61">
        <w:rPr>
          <w:rFonts w:cstheme="minorHAnsi"/>
          <w:sz w:val="20"/>
          <w:szCs w:val="20"/>
        </w:rPr>
        <w:t xml:space="preserve"> Also, 40.78% of Hispanic applicants have applied for </w:t>
      </w:r>
      <w:r w:rsidR="00F84E0C">
        <w:rPr>
          <w:rFonts w:cstheme="minorHAnsi"/>
          <w:sz w:val="20"/>
          <w:szCs w:val="20"/>
        </w:rPr>
        <w:t xml:space="preserve">a </w:t>
      </w:r>
      <w:r w:rsidRPr="007C0F61">
        <w:rPr>
          <w:rFonts w:cstheme="minorHAnsi"/>
          <w:sz w:val="20"/>
          <w:szCs w:val="20"/>
        </w:rPr>
        <w:t xml:space="preserve">loan greater than 90% of the property value (LTV &gt; 0.9), while only 20.21% of White applicants applied for the same. </w:t>
      </w:r>
    </w:p>
    <w:p w14:paraId="02890D6F" w14:textId="2885CB38" w:rsidR="006F5BC9" w:rsidRPr="007C0F61" w:rsidRDefault="006F5BC9" w:rsidP="00EC1D59">
      <w:pPr>
        <w:pStyle w:val="NoSpacing"/>
        <w:jc w:val="both"/>
        <w:rPr>
          <w:rFonts w:cstheme="minorHAnsi"/>
          <w:sz w:val="20"/>
          <w:szCs w:val="20"/>
        </w:rPr>
      </w:pPr>
    </w:p>
    <w:p w14:paraId="45AB7E84" w14:textId="1B447CF2" w:rsidR="008031D5" w:rsidRDefault="009A1712" w:rsidP="008031D5">
      <w:pPr>
        <w:pStyle w:val="NoSpacing"/>
        <w:jc w:val="both"/>
        <w:rPr>
          <w:rFonts w:cstheme="minorHAnsi"/>
          <w:sz w:val="20"/>
          <w:szCs w:val="20"/>
        </w:rPr>
      </w:pPr>
      <w:r w:rsidRPr="007C0F61">
        <w:rPr>
          <w:rFonts w:cstheme="minorHAnsi"/>
          <w:sz w:val="20"/>
          <w:szCs w:val="20"/>
        </w:rPr>
        <w:t>We find that</w:t>
      </w:r>
      <w:r w:rsidR="000240FC" w:rsidRPr="007C0F61">
        <w:rPr>
          <w:rFonts w:cstheme="minorHAnsi"/>
          <w:sz w:val="20"/>
          <w:szCs w:val="20"/>
        </w:rPr>
        <w:t xml:space="preserve"> the economic disparity among races is also evident from the minimum </w:t>
      </w:r>
      <w:r w:rsidR="00CC77B2" w:rsidRPr="007C0F61">
        <w:rPr>
          <w:rFonts w:cstheme="minorHAnsi"/>
          <w:sz w:val="20"/>
          <w:szCs w:val="20"/>
        </w:rPr>
        <w:t>DTI</w:t>
      </w:r>
      <w:r w:rsidR="000240FC" w:rsidRPr="007C0F61">
        <w:rPr>
          <w:rFonts w:cstheme="minorHAnsi"/>
          <w:sz w:val="20"/>
          <w:szCs w:val="20"/>
        </w:rPr>
        <w:t xml:space="preserve"> in our data set. Hispanic applicants have highest minimum </w:t>
      </w:r>
      <w:r w:rsidR="00CC77B2" w:rsidRPr="007C0F61">
        <w:rPr>
          <w:rFonts w:cstheme="minorHAnsi"/>
          <w:sz w:val="20"/>
          <w:szCs w:val="20"/>
        </w:rPr>
        <w:t xml:space="preserve">DTI while </w:t>
      </w:r>
      <w:r w:rsidR="000240FC" w:rsidRPr="007C0F61">
        <w:rPr>
          <w:rFonts w:cstheme="minorHAnsi"/>
          <w:sz w:val="20"/>
          <w:szCs w:val="20"/>
        </w:rPr>
        <w:t>White</w:t>
      </w:r>
      <w:r w:rsidR="00CC77B2" w:rsidRPr="007C0F61">
        <w:rPr>
          <w:rFonts w:cstheme="minorHAnsi"/>
          <w:sz w:val="20"/>
          <w:szCs w:val="20"/>
        </w:rPr>
        <w:t xml:space="preserve"> applicants</w:t>
      </w:r>
      <w:r w:rsidR="000240FC" w:rsidRPr="007C0F61">
        <w:rPr>
          <w:rFonts w:cstheme="minorHAnsi"/>
          <w:sz w:val="20"/>
          <w:szCs w:val="20"/>
        </w:rPr>
        <w:t xml:space="preserve"> </w:t>
      </w:r>
      <w:r w:rsidR="00CC77B2" w:rsidRPr="007C0F61">
        <w:rPr>
          <w:rFonts w:cstheme="minorHAnsi"/>
          <w:sz w:val="20"/>
          <w:szCs w:val="20"/>
        </w:rPr>
        <w:t xml:space="preserve">have lowest. </w:t>
      </w:r>
      <w:r w:rsidR="000449A4" w:rsidRPr="007C0F61">
        <w:rPr>
          <w:rFonts w:cstheme="minorHAnsi"/>
          <w:color w:val="000000"/>
          <w:sz w:val="20"/>
          <w:szCs w:val="20"/>
          <w:lang w:val="en-GB"/>
        </w:rPr>
        <w:t xml:space="preserve">We observe that </w:t>
      </w:r>
      <w:r w:rsidR="000449A4" w:rsidRPr="007C0F61">
        <w:rPr>
          <w:rFonts w:cstheme="minorHAnsi"/>
          <w:sz w:val="20"/>
          <w:szCs w:val="20"/>
        </w:rPr>
        <w:t xml:space="preserve">White applicants have </w:t>
      </w:r>
      <w:r w:rsidR="00696513" w:rsidRPr="007C0F61">
        <w:rPr>
          <w:rFonts w:cstheme="minorHAnsi"/>
          <w:sz w:val="20"/>
          <w:szCs w:val="20"/>
        </w:rPr>
        <w:t xml:space="preserve">a </w:t>
      </w:r>
      <w:r w:rsidR="00696513" w:rsidRPr="007C0F61">
        <w:rPr>
          <w:rFonts w:cstheme="minorHAnsi"/>
          <w:sz w:val="20"/>
          <w:szCs w:val="20"/>
        </w:rPr>
        <w:lastRenderedPageBreak/>
        <w:t xml:space="preserve">loan approval rate of </w:t>
      </w:r>
      <w:r w:rsidR="00696513" w:rsidRPr="007C0F61">
        <w:rPr>
          <w:rFonts w:cstheme="minorHAnsi"/>
          <w:color w:val="000000"/>
          <w:sz w:val="20"/>
          <w:szCs w:val="20"/>
          <w:lang w:val="en-GB"/>
        </w:rPr>
        <w:t xml:space="preserve">91.46%, </w:t>
      </w:r>
      <w:r w:rsidR="000449A4" w:rsidRPr="007C0F61">
        <w:rPr>
          <w:rFonts w:cstheme="minorHAnsi"/>
          <w:sz w:val="20"/>
          <w:szCs w:val="20"/>
        </w:rPr>
        <w:t>while</w:t>
      </w:r>
      <w:r w:rsidR="00696513" w:rsidRPr="007C0F61">
        <w:rPr>
          <w:rFonts w:cstheme="minorHAnsi"/>
          <w:sz w:val="20"/>
          <w:szCs w:val="20"/>
        </w:rPr>
        <w:t xml:space="preserve"> the same for </w:t>
      </w:r>
      <w:r w:rsidR="00696513" w:rsidRPr="007C0F61">
        <w:rPr>
          <w:rFonts w:cstheme="minorHAnsi"/>
          <w:color w:val="000000"/>
          <w:sz w:val="20"/>
          <w:szCs w:val="20"/>
          <w:lang w:val="en-GB"/>
        </w:rPr>
        <w:t xml:space="preserve">Blacks and Hispanics </w:t>
      </w:r>
      <w:r w:rsidR="00696513" w:rsidRPr="007C0F61">
        <w:rPr>
          <w:rFonts w:cstheme="minorHAnsi"/>
          <w:sz w:val="20"/>
          <w:szCs w:val="20"/>
        </w:rPr>
        <w:t xml:space="preserve">is </w:t>
      </w:r>
      <w:r w:rsidR="000449A4" w:rsidRPr="007C0F61">
        <w:rPr>
          <w:rFonts w:cstheme="minorHAnsi"/>
          <w:color w:val="000000"/>
          <w:sz w:val="20"/>
          <w:szCs w:val="20"/>
          <w:lang w:val="en-GB"/>
        </w:rPr>
        <w:t>68.11%</w:t>
      </w:r>
      <w:r w:rsidR="00696513" w:rsidRPr="007C0F61">
        <w:rPr>
          <w:rFonts w:cstheme="minorHAnsi"/>
          <w:color w:val="000000"/>
          <w:sz w:val="20"/>
          <w:szCs w:val="20"/>
          <w:lang w:val="en-GB"/>
        </w:rPr>
        <w:t xml:space="preserve"> and 79.61% respectively. </w:t>
      </w:r>
      <w:r w:rsidR="006F5BC9" w:rsidRPr="007C0F61">
        <w:rPr>
          <w:rFonts w:cstheme="minorHAnsi"/>
          <w:color w:val="000000"/>
          <w:sz w:val="20"/>
          <w:szCs w:val="20"/>
          <w:lang w:val="en-GB"/>
        </w:rPr>
        <w:t xml:space="preserve">This means that </w:t>
      </w:r>
      <w:r w:rsidR="006F5BC9" w:rsidRPr="007C0F61">
        <w:rPr>
          <w:rFonts w:cstheme="minorHAnsi"/>
          <w:sz w:val="20"/>
          <w:szCs w:val="20"/>
        </w:rPr>
        <w:t>approval rate for Blacks is almost 22 percentage points less than Whites.</w:t>
      </w:r>
      <w:r w:rsidR="006F5BC9" w:rsidRPr="007C0F61">
        <w:rPr>
          <w:rFonts w:cstheme="minorHAnsi"/>
          <w:color w:val="000000"/>
          <w:sz w:val="20"/>
          <w:szCs w:val="20"/>
          <w:lang w:val="en-GB"/>
        </w:rPr>
        <w:t xml:space="preserve"> Also,</w:t>
      </w:r>
      <w:r w:rsidR="004A5826" w:rsidRPr="007C0F61">
        <w:rPr>
          <w:rFonts w:cstheme="minorHAnsi"/>
          <w:color w:val="000000"/>
          <w:sz w:val="20"/>
          <w:szCs w:val="20"/>
          <w:lang w:val="en-GB"/>
        </w:rPr>
        <w:t xml:space="preserve"> the approval rate among White applicants who do not meet Credit Guidelines is </w:t>
      </w:r>
      <w:r w:rsidR="004A5826" w:rsidRPr="007C0F61">
        <w:rPr>
          <w:rFonts w:cstheme="minorHAnsi"/>
          <w:sz w:val="20"/>
          <w:szCs w:val="20"/>
        </w:rPr>
        <w:t xml:space="preserve">28.26% while the same for Blacks and Hispanics is 10.42% and 21.4% respectively. </w:t>
      </w:r>
      <w:r w:rsidR="00516B8D" w:rsidRPr="007C0F61">
        <w:rPr>
          <w:rFonts w:cstheme="minorHAnsi"/>
          <w:color w:val="000000"/>
          <w:sz w:val="20"/>
          <w:szCs w:val="20"/>
          <w:lang w:val="en-GB"/>
        </w:rPr>
        <w:t xml:space="preserve">These resonate with our initial hypothesis for racial discrimination in </w:t>
      </w:r>
      <w:r w:rsidR="00516B8D" w:rsidRPr="007C0F61">
        <w:rPr>
          <w:rFonts w:cstheme="minorHAnsi"/>
          <w:sz w:val="20"/>
          <w:szCs w:val="20"/>
        </w:rPr>
        <w:t>mortgage lending practices.</w:t>
      </w:r>
      <w:r w:rsidR="00AF7684" w:rsidRPr="007C0F61">
        <w:rPr>
          <w:rFonts w:cstheme="minorHAnsi"/>
          <w:sz w:val="20"/>
          <w:szCs w:val="20"/>
        </w:rPr>
        <w:t xml:space="preserve"> </w:t>
      </w:r>
      <w:r w:rsidR="00516B8D" w:rsidRPr="007C0F61">
        <w:rPr>
          <w:rFonts w:cstheme="minorHAnsi"/>
          <w:sz w:val="20"/>
          <w:szCs w:val="20"/>
        </w:rPr>
        <w:t>In addition, we find that among all races loan approval rate for Married applicants is higher in comparison to Single Individuals</w:t>
      </w:r>
      <w:r w:rsidR="000449A4" w:rsidRPr="007C0F61">
        <w:rPr>
          <w:rFonts w:cstheme="minorHAnsi"/>
          <w:sz w:val="20"/>
          <w:szCs w:val="20"/>
        </w:rPr>
        <w:t>.</w:t>
      </w:r>
    </w:p>
    <w:p w14:paraId="3D7FDC1F" w14:textId="6F23A630" w:rsidR="00EB2CD4" w:rsidRPr="008031D5" w:rsidRDefault="00B11DBB" w:rsidP="008031D5">
      <w:pPr>
        <w:pStyle w:val="Heading1"/>
        <w:numPr>
          <w:ilvl w:val="0"/>
          <w:numId w:val="2"/>
        </w:numPr>
        <w:jc w:val="both"/>
        <w:rPr>
          <w:rFonts w:asciiTheme="minorHAnsi" w:hAnsiTheme="minorHAnsi" w:cstheme="minorHAnsi"/>
        </w:rPr>
      </w:pPr>
      <w:r w:rsidRPr="001C401B">
        <w:rPr>
          <w:rFonts w:asciiTheme="minorHAnsi" w:hAnsiTheme="minorHAnsi" w:cstheme="minorHAnsi"/>
        </w:rPr>
        <w:t>Results</w:t>
      </w:r>
    </w:p>
    <w:p w14:paraId="77AD6361" w14:textId="51CA7128" w:rsidR="00FA1163" w:rsidRPr="007C0F61" w:rsidRDefault="00FA1163" w:rsidP="00700924">
      <w:pPr>
        <w:pStyle w:val="NoSpacing"/>
        <w:jc w:val="both"/>
        <w:rPr>
          <w:rFonts w:cstheme="minorHAnsi"/>
          <w:sz w:val="20"/>
          <w:szCs w:val="20"/>
        </w:rPr>
      </w:pPr>
    </w:p>
    <w:p w14:paraId="5E63DB2E" w14:textId="7E1F9E22" w:rsidR="00FA1163" w:rsidRPr="007C0F61" w:rsidRDefault="00FA1163" w:rsidP="00700924">
      <w:pPr>
        <w:pStyle w:val="NoSpacing"/>
        <w:jc w:val="both"/>
        <w:rPr>
          <w:rFonts w:cstheme="minorHAnsi"/>
          <w:b/>
          <w:sz w:val="20"/>
          <w:szCs w:val="20"/>
        </w:rPr>
      </w:pPr>
      <w:r w:rsidRPr="007C0F61">
        <w:rPr>
          <w:rFonts w:cstheme="minorHAnsi"/>
          <w:b/>
          <w:sz w:val="20"/>
          <w:szCs w:val="20"/>
        </w:rPr>
        <w:t xml:space="preserve">Logit Model </w:t>
      </w:r>
    </w:p>
    <w:p w14:paraId="1BC014AE" w14:textId="77777777" w:rsidR="00FA1163" w:rsidRPr="007C0F61" w:rsidRDefault="00FA1163" w:rsidP="00700924">
      <w:pPr>
        <w:pStyle w:val="NoSpacing"/>
        <w:jc w:val="both"/>
        <w:rPr>
          <w:rFonts w:cstheme="minorHAnsi"/>
          <w:sz w:val="20"/>
          <w:szCs w:val="20"/>
        </w:rPr>
      </w:pPr>
    </w:p>
    <w:p w14:paraId="153DB59B" w14:textId="18CCD7F4" w:rsidR="007A26D7" w:rsidRPr="007C0F61" w:rsidRDefault="00922A3E" w:rsidP="00700924">
      <w:pPr>
        <w:pStyle w:val="NoSpacing"/>
        <w:jc w:val="both"/>
        <w:rPr>
          <w:rFonts w:cstheme="minorHAnsi"/>
          <w:sz w:val="20"/>
          <w:szCs w:val="20"/>
        </w:rPr>
      </w:pPr>
      <w:r w:rsidRPr="007C0F61">
        <w:rPr>
          <w:rFonts w:cstheme="minorHAnsi"/>
          <w:sz w:val="20"/>
          <w:szCs w:val="20"/>
        </w:rPr>
        <w:t xml:space="preserve">Table 2 below represents our </w:t>
      </w:r>
      <w:r w:rsidR="00C00B49" w:rsidRPr="007C0F61">
        <w:rPr>
          <w:rFonts w:cstheme="minorHAnsi"/>
          <w:sz w:val="20"/>
          <w:szCs w:val="20"/>
        </w:rPr>
        <w:t>lending decision</w:t>
      </w:r>
      <w:r w:rsidRPr="007C0F61">
        <w:rPr>
          <w:rFonts w:cstheme="minorHAnsi"/>
          <w:sz w:val="20"/>
          <w:szCs w:val="20"/>
        </w:rPr>
        <w:t xml:space="preserve"> estimates</w:t>
      </w:r>
      <w:r w:rsidR="005555AD" w:rsidRPr="007C0F61">
        <w:rPr>
          <w:rFonts w:cstheme="minorHAnsi"/>
          <w:sz w:val="20"/>
          <w:szCs w:val="20"/>
        </w:rPr>
        <w:t xml:space="preserve"> </w:t>
      </w:r>
      <w:r w:rsidR="00C00B49" w:rsidRPr="007C0F61">
        <w:rPr>
          <w:rFonts w:cstheme="minorHAnsi"/>
          <w:sz w:val="20"/>
          <w:szCs w:val="20"/>
        </w:rPr>
        <w:t>for Logit model</w:t>
      </w:r>
      <w:r w:rsidR="005555AD" w:rsidRPr="007C0F61">
        <w:rPr>
          <w:rFonts w:cstheme="minorHAnsi"/>
          <w:sz w:val="20"/>
          <w:szCs w:val="20"/>
        </w:rPr>
        <w:t xml:space="preserve">. </w:t>
      </w:r>
      <w:r w:rsidR="007A26D7" w:rsidRPr="007C0F61">
        <w:rPr>
          <w:rFonts w:cstheme="minorHAnsi"/>
          <w:sz w:val="20"/>
          <w:szCs w:val="20"/>
        </w:rPr>
        <w:t xml:space="preserve">Based on these estimates, we observe that LTV and DTI have </w:t>
      </w:r>
      <w:r w:rsidR="00142802">
        <w:rPr>
          <w:rFonts w:cstheme="minorHAnsi"/>
          <w:sz w:val="20"/>
          <w:szCs w:val="20"/>
        </w:rPr>
        <w:t xml:space="preserve">a </w:t>
      </w:r>
      <w:r w:rsidR="007A26D7" w:rsidRPr="007C0F61">
        <w:rPr>
          <w:rFonts w:cstheme="minorHAnsi"/>
          <w:sz w:val="20"/>
          <w:szCs w:val="20"/>
        </w:rPr>
        <w:t xml:space="preserve">negative relationship with loan approval, which suggests that higher the values of these two variables lower is the probability of loan approval. Also, Marital Status has </w:t>
      </w:r>
      <w:r w:rsidR="00142802">
        <w:rPr>
          <w:rFonts w:cstheme="minorHAnsi"/>
          <w:sz w:val="20"/>
          <w:szCs w:val="20"/>
        </w:rPr>
        <w:t xml:space="preserve">a </w:t>
      </w:r>
      <w:r w:rsidR="007A26D7" w:rsidRPr="007C0F61">
        <w:rPr>
          <w:rFonts w:cstheme="minorHAnsi"/>
          <w:sz w:val="20"/>
          <w:szCs w:val="20"/>
        </w:rPr>
        <w:t>positive relationship with loan approval, that means the probability of loan approval of a Married applicant is higher than that of a Single. All three of these variables are statistically significant at 5%</w:t>
      </w:r>
      <w:r w:rsidR="00517C50" w:rsidRPr="007C0F61">
        <w:rPr>
          <w:rFonts w:cstheme="minorHAnsi"/>
          <w:sz w:val="20"/>
          <w:szCs w:val="20"/>
        </w:rPr>
        <w:t xml:space="preserve"> level</w:t>
      </w:r>
      <w:r w:rsidR="007A26D7" w:rsidRPr="007C0F61">
        <w:rPr>
          <w:rFonts w:cstheme="minorHAnsi"/>
          <w:sz w:val="20"/>
          <w:szCs w:val="20"/>
        </w:rPr>
        <w:t>.</w:t>
      </w:r>
    </w:p>
    <w:p w14:paraId="5C422881" w14:textId="77777777" w:rsidR="007A26D7" w:rsidRPr="007C0F61" w:rsidRDefault="007A26D7" w:rsidP="00700924">
      <w:pPr>
        <w:pStyle w:val="NoSpacing"/>
        <w:jc w:val="both"/>
        <w:rPr>
          <w:rFonts w:cstheme="minorHAnsi"/>
          <w:sz w:val="20"/>
          <w:szCs w:val="20"/>
        </w:rPr>
      </w:pPr>
    </w:p>
    <w:p w14:paraId="41F65845" w14:textId="6E1ED4DB" w:rsidR="00AC1E99" w:rsidRPr="007C0F61" w:rsidRDefault="003C7D8E" w:rsidP="00700924">
      <w:pPr>
        <w:pStyle w:val="NoSpacing"/>
        <w:jc w:val="both"/>
        <w:rPr>
          <w:rFonts w:cstheme="minorHAnsi"/>
          <w:sz w:val="20"/>
          <w:szCs w:val="20"/>
        </w:rPr>
      </w:pPr>
      <w:r w:rsidRPr="007C0F61">
        <w:rPr>
          <w:rFonts w:cstheme="minorHAnsi"/>
          <w:sz w:val="20"/>
          <w:szCs w:val="20"/>
        </w:rPr>
        <w:t>Further, w</w:t>
      </w:r>
      <w:r w:rsidR="007A26D7" w:rsidRPr="007C0F61">
        <w:rPr>
          <w:rFonts w:cstheme="minorHAnsi"/>
          <w:sz w:val="20"/>
          <w:szCs w:val="20"/>
        </w:rPr>
        <w:t xml:space="preserve">e find that Credit Guidelines </w:t>
      </w:r>
      <w:r w:rsidR="00517C50" w:rsidRPr="007C0F61">
        <w:rPr>
          <w:rFonts w:cstheme="minorHAnsi"/>
          <w:sz w:val="20"/>
          <w:szCs w:val="20"/>
        </w:rPr>
        <w:t xml:space="preserve">is statistically significant at 0.1% level and </w:t>
      </w:r>
      <w:r w:rsidR="007A26D7" w:rsidRPr="007C0F61">
        <w:rPr>
          <w:rFonts w:cstheme="minorHAnsi"/>
          <w:sz w:val="20"/>
          <w:szCs w:val="20"/>
        </w:rPr>
        <w:t xml:space="preserve">has a positive relationship </w:t>
      </w:r>
      <w:r w:rsidR="00517C50" w:rsidRPr="007C0F61">
        <w:rPr>
          <w:rFonts w:cstheme="minorHAnsi"/>
          <w:sz w:val="20"/>
          <w:szCs w:val="20"/>
        </w:rPr>
        <w:t>with loan approval. This makes sense as</w:t>
      </w:r>
      <w:r w:rsidR="00142802">
        <w:rPr>
          <w:rFonts w:cstheme="minorHAnsi"/>
          <w:sz w:val="20"/>
          <w:szCs w:val="20"/>
        </w:rPr>
        <w:t xml:space="preserve"> applicants who meet</w:t>
      </w:r>
      <w:r w:rsidR="000C03AB" w:rsidRPr="007C0F61">
        <w:rPr>
          <w:rFonts w:cstheme="minorHAnsi"/>
          <w:sz w:val="20"/>
          <w:szCs w:val="20"/>
        </w:rPr>
        <w:t xml:space="preserve"> the credit guidelines will have a higher probability of loan approval.</w:t>
      </w:r>
      <w:r w:rsidR="00BB1964" w:rsidRPr="007C0F61">
        <w:rPr>
          <w:rFonts w:cstheme="minorHAnsi"/>
          <w:sz w:val="20"/>
          <w:szCs w:val="20"/>
        </w:rPr>
        <w:t xml:space="preserve"> In addition, coefficients on Black (significant at 0.1% level) and Hispanic (significant at 5% level) variables have negative sign thereby meaning that </w:t>
      </w:r>
      <w:r w:rsidR="007F32EA" w:rsidRPr="007C0F61">
        <w:rPr>
          <w:rFonts w:cstheme="minorHAnsi"/>
          <w:sz w:val="20"/>
          <w:szCs w:val="20"/>
        </w:rPr>
        <w:t xml:space="preserve">on an average, </w:t>
      </w:r>
      <w:r w:rsidR="00BB1964" w:rsidRPr="007C0F61">
        <w:rPr>
          <w:rFonts w:cstheme="minorHAnsi"/>
          <w:sz w:val="20"/>
          <w:szCs w:val="20"/>
        </w:rPr>
        <w:t xml:space="preserve">Whites have </w:t>
      </w:r>
      <w:r w:rsidR="009D64F3">
        <w:rPr>
          <w:rFonts w:cstheme="minorHAnsi"/>
          <w:sz w:val="20"/>
          <w:szCs w:val="20"/>
        </w:rPr>
        <w:t xml:space="preserve">a </w:t>
      </w:r>
      <w:r w:rsidR="00BB1964" w:rsidRPr="007C0F61">
        <w:rPr>
          <w:rFonts w:cstheme="minorHAnsi"/>
          <w:sz w:val="20"/>
          <w:szCs w:val="20"/>
        </w:rPr>
        <w:t>hi</w:t>
      </w:r>
      <w:r w:rsidR="006777B7" w:rsidRPr="007C0F61">
        <w:rPr>
          <w:rFonts w:cstheme="minorHAnsi"/>
          <w:sz w:val="20"/>
          <w:szCs w:val="20"/>
        </w:rPr>
        <w:t xml:space="preserve">gher probability of loan approval in comparison to Blacks and Hispanics respectively after controlling for other variables in the </w:t>
      </w:r>
      <w:r w:rsidR="00BA67F8" w:rsidRPr="007C0F61">
        <w:rPr>
          <w:rFonts w:cstheme="minorHAnsi"/>
          <w:sz w:val="20"/>
          <w:szCs w:val="20"/>
        </w:rPr>
        <w:t>model.</w:t>
      </w:r>
    </w:p>
    <w:p w14:paraId="04C27715" w14:textId="1F2BBB63" w:rsidR="00AC1E99" w:rsidRPr="007C0F61" w:rsidRDefault="00AC1E99" w:rsidP="00700924">
      <w:pPr>
        <w:pStyle w:val="NoSpacing"/>
        <w:jc w:val="both"/>
        <w:rPr>
          <w:rFonts w:cstheme="minorHAnsi"/>
          <w:sz w:val="20"/>
          <w:szCs w:val="20"/>
        </w:rPr>
      </w:pPr>
    </w:p>
    <w:tbl>
      <w:tblPr>
        <w:tblW w:w="6227" w:type="dxa"/>
        <w:jc w:val="center"/>
        <w:tblBorders>
          <w:top w:val="nil"/>
          <w:left w:val="nil"/>
          <w:right w:val="nil"/>
        </w:tblBorders>
        <w:tblLayout w:type="fixed"/>
        <w:tblLook w:val="0000" w:firstRow="0" w:lastRow="0" w:firstColumn="0" w:lastColumn="0" w:noHBand="0" w:noVBand="0"/>
      </w:tblPr>
      <w:tblGrid>
        <w:gridCol w:w="2117"/>
        <w:gridCol w:w="2268"/>
        <w:gridCol w:w="1842"/>
      </w:tblGrid>
      <w:tr w:rsidR="00AC1E99" w:rsidRPr="007C0F61" w14:paraId="38CB2E0A" w14:textId="77777777" w:rsidTr="00AC1E99">
        <w:trPr>
          <w:jc w:val="center"/>
        </w:trPr>
        <w:tc>
          <w:tcPr>
            <w:tcW w:w="6227" w:type="dxa"/>
            <w:gridSpan w:val="3"/>
            <w:tcBorders>
              <w:top w:val="single" w:sz="8" w:space="0" w:color="000000"/>
              <w:left w:val="single" w:sz="8" w:space="0" w:color="000000"/>
              <w:bottom w:val="single" w:sz="16" w:space="0" w:color="000000"/>
              <w:right w:val="single" w:sz="8" w:space="0" w:color="000000"/>
            </w:tcBorders>
            <w:tcMar>
              <w:top w:w="20" w:type="nil"/>
              <w:left w:w="20" w:type="nil"/>
              <w:right w:w="20" w:type="nil"/>
            </w:tcMar>
            <w:vAlign w:val="bottom"/>
          </w:tcPr>
          <w:p w14:paraId="50194A87" w14:textId="21513670" w:rsidR="00AC1E99" w:rsidRPr="007C0F61" w:rsidRDefault="00AC1E99">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Table</w:t>
            </w:r>
            <w:r w:rsidR="005B6134" w:rsidRPr="007C0F61">
              <w:rPr>
                <w:rFonts w:asciiTheme="minorHAnsi" w:eastAsiaTheme="minorHAnsi" w:hAnsiTheme="minorHAnsi" w:cstheme="minorHAnsi"/>
                <w:b/>
                <w:bCs/>
                <w:color w:val="000000"/>
                <w:sz w:val="20"/>
                <w:szCs w:val="20"/>
                <w:lang w:eastAsia="en-US"/>
              </w:rPr>
              <w:t xml:space="preserve"> </w:t>
            </w:r>
            <w:r w:rsidRPr="007C0F61">
              <w:rPr>
                <w:rFonts w:asciiTheme="minorHAnsi" w:eastAsiaTheme="minorHAnsi" w:hAnsiTheme="minorHAnsi" w:cstheme="minorHAnsi"/>
                <w:b/>
                <w:bCs/>
                <w:color w:val="000000"/>
                <w:sz w:val="20"/>
                <w:szCs w:val="20"/>
                <w:lang w:eastAsia="en-US"/>
              </w:rPr>
              <w:t>2: Estimated Logit Model</w:t>
            </w:r>
          </w:p>
        </w:tc>
      </w:tr>
      <w:tr w:rsidR="00AC1E99" w:rsidRPr="007C0F61" w14:paraId="2B973F11" w14:textId="77777777" w:rsidTr="00AC1E99">
        <w:tblPrEx>
          <w:tblBorders>
            <w:top w:val="none" w:sz="0" w:space="0" w:color="auto"/>
          </w:tblBorders>
        </w:tblPrEx>
        <w:trPr>
          <w:jc w:val="center"/>
        </w:trPr>
        <w:tc>
          <w:tcPr>
            <w:tcW w:w="2117" w:type="dxa"/>
            <w:vMerge w:val="restart"/>
            <w:tcBorders>
              <w:left w:val="single" w:sz="8" w:space="0" w:color="000000"/>
              <w:bottom w:val="single" w:sz="8" w:space="0" w:color="000000"/>
            </w:tcBorders>
            <w:tcMar>
              <w:top w:w="20" w:type="nil"/>
              <w:left w:w="20" w:type="nil"/>
              <w:right w:w="20" w:type="nil"/>
            </w:tcMar>
            <w:vAlign w:val="center"/>
          </w:tcPr>
          <w:p w14:paraId="65B1F71E"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4110" w:type="dxa"/>
            <w:gridSpan w:val="2"/>
            <w:tcBorders>
              <w:top w:val="single" w:sz="16" w:space="0" w:color="000000"/>
              <w:bottom w:val="single" w:sz="8" w:space="0" w:color="000000"/>
              <w:right w:val="single" w:sz="8" w:space="0" w:color="000000"/>
            </w:tcBorders>
            <w:tcMar>
              <w:top w:w="20" w:type="nil"/>
              <w:left w:w="20" w:type="nil"/>
              <w:right w:w="20" w:type="nil"/>
            </w:tcMar>
            <w:vAlign w:val="bottom"/>
          </w:tcPr>
          <w:p w14:paraId="776230A8"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Dependent Variable: Approve</w:t>
            </w:r>
          </w:p>
        </w:tc>
      </w:tr>
      <w:tr w:rsidR="00AC1E99" w:rsidRPr="007C0F61" w14:paraId="76EB4152" w14:textId="77777777" w:rsidTr="00AC1E99">
        <w:tblPrEx>
          <w:tblBorders>
            <w:top w:val="none" w:sz="0" w:space="0" w:color="auto"/>
          </w:tblBorders>
        </w:tblPrEx>
        <w:trPr>
          <w:jc w:val="center"/>
        </w:trPr>
        <w:tc>
          <w:tcPr>
            <w:tcW w:w="2117" w:type="dxa"/>
            <w:vMerge/>
            <w:tcBorders>
              <w:left w:val="single" w:sz="8" w:space="0" w:color="000000"/>
              <w:bottom w:val="single" w:sz="8" w:space="0" w:color="000000"/>
            </w:tcBorders>
            <w:tcMar>
              <w:top w:w="20" w:type="nil"/>
              <w:left w:w="20" w:type="nil"/>
              <w:right w:w="20" w:type="nil"/>
            </w:tcMar>
            <w:vAlign w:val="center"/>
          </w:tcPr>
          <w:p w14:paraId="645B348F" w14:textId="77777777" w:rsidR="00AC1E99" w:rsidRPr="007C0F61" w:rsidRDefault="00AC1E99">
            <w:pPr>
              <w:autoSpaceDE w:val="0"/>
              <w:autoSpaceDN w:val="0"/>
              <w:adjustRightInd w:val="0"/>
              <w:rPr>
                <w:rFonts w:asciiTheme="minorHAnsi" w:eastAsiaTheme="minorHAnsi" w:hAnsiTheme="minorHAnsi" w:cstheme="minorHAnsi"/>
                <w:color w:val="000000"/>
                <w:sz w:val="20"/>
                <w:szCs w:val="20"/>
                <w:lang w:eastAsia="en-US"/>
              </w:rPr>
            </w:pPr>
          </w:p>
        </w:tc>
        <w:tc>
          <w:tcPr>
            <w:tcW w:w="2268" w:type="dxa"/>
            <w:tcBorders>
              <w:bottom w:val="single" w:sz="8" w:space="0" w:color="000000"/>
              <w:right w:val="single" w:sz="8" w:space="0" w:color="000000"/>
            </w:tcBorders>
            <w:tcMar>
              <w:top w:w="20" w:type="nil"/>
              <w:left w:w="20" w:type="nil"/>
              <w:right w:w="20" w:type="nil"/>
            </w:tcMar>
            <w:vAlign w:val="bottom"/>
          </w:tcPr>
          <w:p w14:paraId="19FC336F"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Estimated Co-efficient</w:t>
            </w:r>
          </w:p>
        </w:tc>
        <w:tc>
          <w:tcPr>
            <w:tcW w:w="1842" w:type="dxa"/>
            <w:tcBorders>
              <w:bottom w:val="single" w:sz="8" w:space="0" w:color="000000"/>
              <w:right w:val="single" w:sz="8" w:space="0" w:color="000000"/>
            </w:tcBorders>
            <w:tcMar>
              <w:top w:w="20" w:type="nil"/>
              <w:left w:w="20" w:type="nil"/>
              <w:right w:w="20" w:type="nil"/>
            </w:tcMar>
            <w:vAlign w:val="center"/>
          </w:tcPr>
          <w:p w14:paraId="7B4DE8DC"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Odds Ratio</w:t>
            </w:r>
          </w:p>
        </w:tc>
      </w:tr>
      <w:tr w:rsidR="00AC1E99" w:rsidRPr="007C0F61" w14:paraId="4CD0B8D2"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3A35DB4E"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(Intercept)</w:t>
            </w:r>
          </w:p>
        </w:tc>
        <w:tc>
          <w:tcPr>
            <w:tcW w:w="2268" w:type="dxa"/>
            <w:tcMar>
              <w:top w:w="20" w:type="nil"/>
              <w:left w:w="20" w:type="nil"/>
              <w:right w:w="20" w:type="nil"/>
            </w:tcMar>
            <w:vAlign w:val="bottom"/>
          </w:tcPr>
          <w:p w14:paraId="3F2B0432"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0.9808</w:t>
            </w:r>
          </w:p>
        </w:tc>
        <w:tc>
          <w:tcPr>
            <w:tcW w:w="1842" w:type="dxa"/>
            <w:tcBorders>
              <w:right w:val="single" w:sz="8" w:space="0" w:color="000000"/>
            </w:tcBorders>
            <w:tcMar>
              <w:top w:w="20" w:type="nil"/>
              <w:left w:w="20" w:type="nil"/>
              <w:right w:w="20" w:type="nil"/>
            </w:tcMar>
            <w:vAlign w:val="bottom"/>
          </w:tcPr>
          <w:p w14:paraId="704CC93A"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2.667</w:t>
            </w:r>
          </w:p>
        </w:tc>
      </w:tr>
      <w:tr w:rsidR="00AC1E99" w:rsidRPr="007C0F61" w14:paraId="30783299"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7E4F28C7"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Mar>
              <w:top w:w="20" w:type="nil"/>
              <w:left w:w="20" w:type="nil"/>
              <w:right w:w="20" w:type="nil"/>
            </w:tcMar>
            <w:vAlign w:val="bottom"/>
          </w:tcPr>
          <w:p w14:paraId="3DDC47FD"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(0.7272)</w:t>
            </w:r>
          </w:p>
        </w:tc>
        <w:tc>
          <w:tcPr>
            <w:tcW w:w="1842" w:type="dxa"/>
            <w:tcBorders>
              <w:right w:val="single" w:sz="8" w:space="0" w:color="000000"/>
            </w:tcBorders>
            <w:tcMar>
              <w:top w:w="20" w:type="nil"/>
              <w:left w:w="20" w:type="nil"/>
              <w:right w:w="20" w:type="nil"/>
            </w:tcMar>
            <w:vAlign w:val="bottom"/>
          </w:tcPr>
          <w:p w14:paraId="46C28BC1"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36D4A87F"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0E39D600"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Other Obligations(DTI)</w:t>
            </w:r>
          </w:p>
        </w:tc>
        <w:tc>
          <w:tcPr>
            <w:tcW w:w="2268" w:type="dxa"/>
            <w:tcMar>
              <w:top w:w="20" w:type="nil"/>
              <w:left w:w="20" w:type="nil"/>
              <w:right w:w="20" w:type="nil"/>
            </w:tcMar>
            <w:vAlign w:val="bottom"/>
          </w:tcPr>
          <w:p w14:paraId="5BD37D3D"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-0.0273*</w:t>
            </w:r>
          </w:p>
        </w:tc>
        <w:tc>
          <w:tcPr>
            <w:tcW w:w="1842" w:type="dxa"/>
            <w:tcBorders>
              <w:right w:val="single" w:sz="8" w:space="0" w:color="000000"/>
            </w:tcBorders>
            <w:tcMar>
              <w:top w:w="20" w:type="nil"/>
              <w:left w:w="20" w:type="nil"/>
              <w:right w:w="20" w:type="nil"/>
            </w:tcMar>
            <w:vAlign w:val="bottom"/>
          </w:tcPr>
          <w:p w14:paraId="5B7872B0"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0.973</w:t>
            </w:r>
          </w:p>
        </w:tc>
      </w:tr>
      <w:tr w:rsidR="00AC1E99" w:rsidRPr="007C0F61" w14:paraId="17C8156A"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1750F2D2"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Mar>
              <w:top w:w="20" w:type="nil"/>
              <w:left w:w="20" w:type="nil"/>
              <w:right w:w="20" w:type="nil"/>
            </w:tcMar>
            <w:vAlign w:val="bottom"/>
          </w:tcPr>
          <w:p w14:paraId="17801E3C"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(0.0136)</w:t>
            </w:r>
          </w:p>
        </w:tc>
        <w:tc>
          <w:tcPr>
            <w:tcW w:w="1842" w:type="dxa"/>
            <w:tcBorders>
              <w:right w:val="single" w:sz="8" w:space="0" w:color="000000"/>
            </w:tcBorders>
            <w:tcMar>
              <w:top w:w="20" w:type="nil"/>
              <w:left w:w="20" w:type="nil"/>
              <w:right w:w="20" w:type="nil"/>
            </w:tcMar>
            <w:vAlign w:val="bottom"/>
          </w:tcPr>
          <w:p w14:paraId="2914A343"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5C0139D7"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71EA2F57"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Loan to Value(LTV)</w:t>
            </w:r>
          </w:p>
        </w:tc>
        <w:tc>
          <w:tcPr>
            <w:tcW w:w="2268" w:type="dxa"/>
            <w:tcMar>
              <w:top w:w="20" w:type="nil"/>
              <w:left w:w="20" w:type="nil"/>
              <w:right w:w="20" w:type="nil"/>
            </w:tcMar>
            <w:vAlign w:val="bottom"/>
          </w:tcPr>
          <w:p w14:paraId="40270069"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-0.0163*</w:t>
            </w:r>
          </w:p>
        </w:tc>
        <w:tc>
          <w:tcPr>
            <w:tcW w:w="1842" w:type="dxa"/>
            <w:tcBorders>
              <w:right w:val="single" w:sz="8" w:space="0" w:color="000000"/>
            </w:tcBorders>
            <w:tcMar>
              <w:top w:w="20" w:type="nil"/>
              <w:left w:w="20" w:type="nil"/>
              <w:right w:w="20" w:type="nil"/>
            </w:tcMar>
            <w:vAlign w:val="bottom"/>
          </w:tcPr>
          <w:p w14:paraId="334793E3"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0.984</w:t>
            </w:r>
          </w:p>
        </w:tc>
      </w:tr>
      <w:tr w:rsidR="00AC1E99" w:rsidRPr="007C0F61" w14:paraId="6ADF8DEB"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3614C6CC"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Mar>
              <w:top w:w="20" w:type="nil"/>
              <w:left w:w="20" w:type="nil"/>
              <w:right w:w="20" w:type="nil"/>
            </w:tcMar>
            <w:vAlign w:val="bottom"/>
          </w:tcPr>
          <w:p w14:paraId="561B43D8"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(0.0071)</w:t>
            </w:r>
          </w:p>
        </w:tc>
        <w:tc>
          <w:tcPr>
            <w:tcW w:w="1842" w:type="dxa"/>
            <w:tcBorders>
              <w:right w:val="single" w:sz="8" w:space="0" w:color="000000"/>
            </w:tcBorders>
            <w:tcMar>
              <w:top w:w="20" w:type="nil"/>
              <w:left w:w="20" w:type="nil"/>
              <w:right w:w="20" w:type="nil"/>
            </w:tcMar>
            <w:vAlign w:val="bottom"/>
          </w:tcPr>
          <w:p w14:paraId="6F069719"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4CC8DDB5"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1D5469AF"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w:t>
            </w:r>
          </w:p>
        </w:tc>
        <w:tc>
          <w:tcPr>
            <w:tcW w:w="2268" w:type="dxa"/>
            <w:tcMar>
              <w:top w:w="20" w:type="nil"/>
              <w:left w:w="20" w:type="nil"/>
              <w:right w:w="20" w:type="nil"/>
            </w:tcMar>
            <w:vAlign w:val="bottom"/>
          </w:tcPr>
          <w:p w14:paraId="4A67150C" w14:textId="5F4AAB4A"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0.4875*</w:t>
            </w:r>
          </w:p>
        </w:tc>
        <w:tc>
          <w:tcPr>
            <w:tcW w:w="1842" w:type="dxa"/>
            <w:tcBorders>
              <w:right w:val="single" w:sz="8" w:space="0" w:color="000000"/>
            </w:tcBorders>
            <w:tcMar>
              <w:top w:w="20" w:type="nil"/>
              <w:left w:w="20" w:type="nil"/>
              <w:right w:w="20" w:type="nil"/>
            </w:tcMar>
            <w:vAlign w:val="bottom"/>
          </w:tcPr>
          <w:p w14:paraId="6F9F4938"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1.628</w:t>
            </w:r>
          </w:p>
        </w:tc>
      </w:tr>
      <w:tr w:rsidR="00AC1E99" w:rsidRPr="007C0F61" w14:paraId="29D9B1E6"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50EE460A"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Mar>
              <w:top w:w="20" w:type="nil"/>
              <w:left w:w="20" w:type="nil"/>
              <w:right w:w="20" w:type="nil"/>
            </w:tcMar>
            <w:vAlign w:val="bottom"/>
          </w:tcPr>
          <w:p w14:paraId="6001CCF1"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(0.1898)</w:t>
            </w:r>
          </w:p>
        </w:tc>
        <w:tc>
          <w:tcPr>
            <w:tcW w:w="1842" w:type="dxa"/>
            <w:tcBorders>
              <w:right w:val="single" w:sz="8" w:space="0" w:color="000000"/>
            </w:tcBorders>
            <w:tcMar>
              <w:top w:w="20" w:type="nil"/>
              <w:left w:w="20" w:type="nil"/>
              <w:right w:w="20" w:type="nil"/>
            </w:tcMar>
            <w:vAlign w:val="bottom"/>
          </w:tcPr>
          <w:p w14:paraId="40201530"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24D99E57"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1F8A87C5" w14:textId="5DD58EAC" w:rsidR="00B92D49" w:rsidRPr="007C0F61" w:rsidRDefault="005110E6">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Credit Guidelines</w:t>
            </w:r>
          </w:p>
        </w:tc>
        <w:tc>
          <w:tcPr>
            <w:tcW w:w="2268" w:type="dxa"/>
            <w:tcMar>
              <w:top w:w="20" w:type="nil"/>
              <w:left w:w="20" w:type="nil"/>
              <w:right w:w="20" w:type="nil"/>
            </w:tcMar>
            <w:vAlign w:val="bottom"/>
          </w:tcPr>
          <w:p w14:paraId="2087416C"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3.8542***</w:t>
            </w:r>
          </w:p>
        </w:tc>
        <w:tc>
          <w:tcPr>
            <w:tcW w:w="1842" w:type="dxa"/>
            <w:tcBorders>
              <w:right w:val="single" w:sz="8" w:space="0" w:color="000000"/>
            </w:tcBorders>
            <w:tcMar>
              <w:top w:w="20" w:type="nil"/>
              <w:left w:w="20" w:type="nil"/>
              <w:right w:w="20" w:type="nil"/>
            </w:tcMar>
            <w:vAlign w:val="bottom"/>
          </w:tcPr>
          <w:p w14:paraId="7FE59031"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47.190</w:t>
            </w:r>
          </w:p>
        </w:tc>
      </w:tr>
      <w:tr w:rsidR="00AC1E99" w:rsidRPr="007C0F61" w14:paraId="10CAF853"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4B9C30DE"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Mar>
              <w:top w:w="20" w:type="nil"/>
              <w:left w:w="20" w:type="nil"/>
              <w:right w:w="20" w:type="nil"/>
            </w:tcMar>
            <w:vAlign w:val="bottom"/>
          </w:tcPr>
          <w:p w14:paraId="420B9681"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(0.2278)</w:t>
            </w:r>
          </w:p>
        </w:tc>
        <w:tc>
          <w:tcPr>
            <w:tcW w:w="1842" w:type="dxa"/>
            <w:tcBorders>
              <w:right w:val="single" w:sz="8" w:space="0" w:color="000000"/>
            </w:tcBorders>
            <w:tcMar>
              <w:top w:w="20" w:type="nil"/>
              <w:left w:w="20" w:type="nil"/>
              <w:right w:w="20" w:type="nil"/>
            </w:tcMar>
            <w:vAlign w:val="bottom"/>
          </w:tcPr>
          <w:p w14:paraId="5199B53E"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1756D2FB"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55A531BD"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Black</w:t>
            </w:r>
          </w:p>
        </w:tc>
        <w:tc>
          <w:tcPr>
            <w:tcW w:w="2268" w:type="dxa"/>
            <w:tcMar>
              <w:top w:w="20" w:type="nil"/>
              <w:left w:w="20" w:type="nil"/>
              <w:right w:w="20" w:type="nil"/>
            </w:tcMar>
            <w:vAlign w:val="bottom"/>
          </w:tcPr>
          <w:p w14:paraId="3D71F23B"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-0.9015***</w:t>
            </w:r>
          </w:p>
        </w:tc>
        <w:tc>
          <w:tcPr>
            <w:tcW w:w="1842" w:type="dxa"/>
            <w:tcBorders>
              <w:right w:val="single" w:sz="8" w:space="0" w:color="000000"/>
            </w:tcBorders>
            <w:tcMar>
              <w:top w:w="20" w:type="nil"/>
              <w:left w:w="20" w:type="nil"/>
              <w:right w:w="20" w:type="nil"/>
            </w:tcMar>
            <w:vAlign w:val="bottom"/>
          </w:tcPr>
          <w:p w14:paraId="5766A1B7"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0.406</w:t>
            </w:r>
          </w:p>
        </w:tc>
      </w:tr>
      <w:tr w:rsidR="00AC1E99" w:rsidRPr="007C0F61" w14:paraId="43555681"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78E8B76E"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Mar>
              <w:top w:w="20" w:type="nil"/>
              <w:left w:w="20" w:type="nil"/>
              <w:right w:w="20" w:type="nil"/>
            </w:tcMar>
            <w:vAlign w:val="bottom"/>
          </w:tcPr>
          <w:p w14:paraId="12D1E569"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(0.2491)</w:t>
            </w:r>
          </w:p>
        </w:tc>
        <w:tc>
          <w:tcPr>
            <w:tcW w:w="1842" w:type="dxa"/>
            <w:tcBorders>
              <w:right w:val="single" w:sz="8" w:space="0" w:color="000000"/>
            </w:tcBorders>
            <w:tcMar>
              <w:top w:w="20" w:type="nil"/>
              <w:left w:w="20" w:type="nil"/>
              <w:right w:w="20" w:type="nil"/>
            </w:tcMar>
            <w:vAlign w:val="bottom"/>
          </w:tcPr>
          <w:p w14:paraId="195A96BC"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1A8EEC8E"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center"/>
          </w:tcPr>
          <w:p w14:paraId="3BE47326"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Hispanic</w:t>
            </w:r>
          </w:p>
        </w:tc>
        <w:tc>
          <w:tcPr>
            <w:tcW w:w="2268" w:type="dxa"/>
            <w:tcMar>
              <w:top w:w="20" w:type="nil"/>
              <w:left w:w="20" w:type="nil"/>
              <w:right w:w="20" w:type="nil"/>
            </w:tcMar>
            <w:vAlign w:val="bottom"/>
          </w:tcPr>
          <w:p w14:paraId="46223BF1"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-0.7210*</w:t>
            </w:r>
          </w:p>
        </w:tc>
        <w:tc>
          <w:tcPr>
            <w:tcW w:w="1842" w:type="dxa"/>
            <w:tcBorders>
              <w:right w:val="single" w:sz="8" w:space="0" w:color="000000"/>
            </w:tcBorders>
            <w:tcMar>
              <w:top w:w="20" w:type="nil"/>
              <w:left w:w="20" w:type="nil"/>
              <w:right w:w="20" w:type="nil"/>
            </w:tcMar>
            <w:vAlign w:val="bottom"/>
          </w:tcPr>
          <w:p w14:paraId="2A625CCD"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0.486</w:t>
            </w:r>
          </w:p>
        </w:tc>
      </w:tr>
      <w:tr w:rsidR="00AC1E99" w:rsidRPr="007C0F61" w14:paraId="267CBBA3" w14:textId="77777777" w:rsidTr="00AC1E99">
        <w:tblPrEx>
          <w:tblBorders>
            <w:top w:val="none" w:sz="0" w:space="0" w:color="auto"/>
          </w:tblBorders>
        </w:tblPrEx>
        <w:trPr>
          <w:jc w:val="center"/>
        </w:trPr>
        <w:tc>
          <w:tcPr>
            <w:tcW w:w="2117" w:type="dxa"/>
            <w:tcBorders>
              <w:left w:val="single" w:sz="8" w:space="0" w:color="000000"/>
              <w:bottom w:val="single" w:sz="8" w:space="0" w:color="000000"/>
            </w:tcBorders>
            <w:tcMar>
              <w:top w:w="20" w:type="nil"/>
              <w:left w:w="20" w:type="nil"/>
              <w:right w:w="20" w:type="nil"/>
            </w:tcMar>
            <w:vAlign w:val="bottom"/>
          </w:tcPr>
          <w:p w14:paraId="7815D362"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268" w:type="dxa"/>
            <w:tcBorders>
              <w:bottom w:val="single" w:sz="8" w:space="0" w:color="000000"/>
            </w:tcBorders>
            <w:tcMar>
              <w:top w:w="20" w:type="nil"/>
              <w:left w:w="20" w:type="nil"/>
              <w:right w:w="20" w:type="nil"/>
            </w:tcMar>
            <w:vAlign w:val="bottom"/>
          </w:tcPr>
          <w:p w14:paraId="785B4199"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(0.3410)</w:t>
            </w:r>
          </w:p>
        </w:tc>
        <w:tc>
          <w:tcPr>
            <w:tcW w:w="1842" w:type="dxa"/>
            <w:tcBorders>
              <w:right w:val="single" w:sz="8" w:space="0" w:color="000000"/>
            </w:tcBorders>
            <w:tcMar>
              <w:top w:w="20" w:type="nil"/>
              <w:left w:w="20" w:type="nil"/>
              <w:right w:w="20" w:type="nil"/>
            </w:tcMar>
            <w:vAlign w:val="bottom"/>
          </w:tcPr>
          <w:p w14:paraId="5FF0731B" w14:textId="77777777" w:rsidR="00AC1E99" w:rsidRPr="007C0F61" w:rsidRDefault="00AC1E99">
            <w:pPr>
              <w:autoSpaceDE w:val="0"/>
              <w:autoSpaceDN w:val="0"/>
              <w:adjustRightInd w:val="0"/>
              <w:spacing w:line="36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5AFC4E05" w14:textId="77777777" w:rsidTr="00AC1E99">
        <w:tblPrEx>
          <w:tblBorders>
            <w:top w:val="none" w:sz="0" w:space="0" w:color="auto"/>
          </w:tblBorders>
        </w:tblPrEx>
        <w:trPr>
          <w:jc w:val="center"/>
        </w:trPr>
        <w:tc>
          <w:tcPr>
            <w:tcW w:w="2117" w:type="dxa"/>
            <w:tcBorders>
              <w:left w:val="single" w:sz="8" w:space="0" w:color="000000"/>
              <w:bottom w:val="single" w:sz="8" w:space="0" w:color="000000"/>
            </w:tcBorders>
            <w:tcMar>
              <w:top w:w="20" w:type="nil"/>
              <w:left w:w="20" w:type="nil"/>
              <w:right w:w="20" w:type="nil"/>
            </w:tcMar>
            <w:vAlign w:val="bottom"/>
          </w:tcPr>
          <w:p w14:paraId="1A37141D"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No. of Observations</w:t>
            </w:r>
          </w:p>
        </w:tc>
        <w:tc>
          <w:tcPr>
            <w:tcW w:w="2268" w:type="dxa"/>
            <w:tcBorders>
              <w:bottom w:val="single" w:sz="8" w:space="0" w:color="000000"/>
            </w:tcBorders>
            <w:tcMar>
              <w:top w:w="20" w:type="nil"/>
              <w:left w:w="20" w:type="nil"/>
              <w:right w:w="20" w:type="nil"/>
            </w:tcMar>
            <w:vAlign w:val="bottom"/>
          </w:tcPr>
          <w:p w14:paraId="4E0B6358"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1916</w:t>
            </w:r>
          </w:p>
        </w:tc>
        <w:tc>
          <w:tcPr>
            <w:tcW w:w="1842" w:type="dxa"/>
            <w:tcBorders>
              <w:top w:val="single" w:sz="8" w:space="0" w:color="000000"/>
              <w:bottom w:val="single" w:sz="8" w:space="0" w:color="000000"/>
              <w:right w:val="single" w:sz="8" w:space="0" w:color="000000"/>
            </w:tcBorders>
            <w:tcMar>
              <w:top w:w="20" w:type="nil"/>
              <w:left w:w="20" w:type="nil"/>
              <w:right w:w="20" w:type="nil"/>
            </w:tcMar>
            <w:vAlign w:val="bottom"/>
          </w:tcPr>
          <w:p w14:paraId="25EEF366"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7C68F063" w14:textId="77777777" w:rsidTr="00AC1E99">
        <w:tblPrEx>
          <w:tblBorders>
            <w:top w:val="none" w:sz="0" w:space="0" w:color="auto"/>
          </w:tblBorders>
        </w:tblPrEx>
        <w:trPr>
          <w:jc w:val="center"/>
        </w:trPr>
        <w:tc>
          <w:tcPr>
            <w:tcW w:w="2117" w:type="dxa"/>
            <w:tcBorders>
              <w:left w:val="single" w:sz="8" w:space="0" w:color="000000"/>
            </w:tcBorders>
            <w:tcMar>
              <w:top w:w="20" w:type="nil"/>
              <w:left w:w="20" w:type="nil"/>
              <w:right w:w="20" w:type="nil"/>
            </w:tcMar>
            <w:vAlign w:val="bottom"/>
          </w:tcPr>
          <w:p w14:paraId="1C49F7FA"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Log-Likelihood</w:t>
            </w:r>
          </w:p>
        </w:tc>
        <w:tc>
          <w:tcPr>
            <w:tcW w:w="2268" w:type="dxa"/>
            <w:tcMar>
              <w:top w:w="20" w:type="nil"/>
              <w:left w:w="20" w:type="nil"/>
              <w:right w:w="20" w:type="nil"/>
            </w:tcMar>
            <w:vAlign w:val="bottom"/>
          </w:tcPr>
          <w:p w14:paraId="5CBAE359" w14:textId="77777777" w:rsidR="00AC1E99" w:rsidRPr="007C0F61" w:rsidRDefault="00AC1E99">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-443.3147</w:t>
            </w:r>
          </w:p>
        </w:tc>
        <w:tc>
          <w:tcPr>
            <w:tcW w:w="1842" w:type="dxa"/>
            <w:tcBorders>
              <w:right w:val="single" w:sz="8" w:space="0" w:color="000000"/>
            </w:tcBorders>
            <w:tcMar>
              <w:top w:w="20" w:type="nil"/>
              <w:left w:w="20" w:type="nil"/>
              <w:right w:w="20" w:type="nil"/>
            </w:tcMar>
            <w:vAlign w:val="bottom"/>
          </w:tcPr>
          <w:p w14:paraId="08B0A9A6" w14:textId="77777777" w:rsidR="00AC1E99" w:rsidRPr="007C0F61" w:rsidRDefault="00AC1E9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r>
      <w:tr w:rsidR="00AC1E99" w:rsidRPr="007C0F61" w14:paraId="5B08810B" w14:textId="77777777" w:rsidTr="00AC1E99">
        <w:trPr>
          <w:jc w:val="center"/>
        </w:trPr>
        <w:tc>
          <w:tcPr>
            <w:tcW w:w="6227" w:type="dxa"/>
            <w:gridSpan w:val="3"/>
            <w:tcBorders>
              <w:top w:val="single" w:sz="8" w:space="0" w:color="000000"/>
              <w:left w:val="single" w:sz="8" w:space="0" w:color="000000"/>
              <w:bottom w:val="single" w:sz="8" w:space="0" w:color="000000"/>
              <w:right w:val="single" w:sz="8" w:space="0" w:color="000000"/>
            </w:tcBorders>
            <w:tcMar>
              <w:top w:w="20" w:type="nil"/>
              <w:left w:w="20" w:type="nil"/>
              <w:right w:w="20" w:type="nil"/>
            </w:tcMar>
          </w:tcPr>
          <w:p w14:paraId="0FA6C2CE" w14:textId="77777777" w:rsidR="00AC1E99" w:rsidRPr="007C0F61" w:rsidRDefault="00AC1E99">
            <w:pPr>
              <w:autoSpaceDE w:val="0"/>
              <w:autoSpaceDN w:val="0"/>
              <w:adjustRightInd w:val="0"/>
              <w:spacing w:line="300" w:lineRule="atLeast"/>
              <w:rPr>
                <w:rFonts w:asciiTheme="minorHAnsi" w:eastAsiaTheme="minorHAnsi" w:hAnsiTheme="minorHAnsi" w:cstheme="minorHAnsi"/>
                <w:i/>
                <w:iCs/>
                <w:color w:val="000000"/>
                <w:sz w:val="20"/>
                <w:szCs w:val="20"/>
                <w:u w:color="000000"/>
                <w:lang w:eastAsia="en-US"/>
              </w:rPr>
            </w:pPr>
            <w:r w:rsidRPr="007C0F61">
              <w:rPr>
                <w:rFonts w:asciiTheme="minorHAnsi" w:eastAsiaTheme="minorHAnsi" w:hAnsiTheme="minorHAnsi" w:cstheme="minorHAnsi"/>
                <w:i/>
                <w:iCs/>
                <w:color w:val="000000"/>
                <w:sz w:val="20"/>
                <w:szCs w:val="20"/>
                <w:u w:val="single" w:color="000000"/>
                <w:lang w:eastAsia="en-US"/>
              </w:rPr>
              <w:t>Notes:</w:t>
            </w:r>
            <w:r w:rsidRPr="007C0F61">
              <w:rPr>
                <w:rFonts w:asciiTheme="minorHAnsi" w:eastAsiaTheme="minorHAnsi" w:hAnsiTheme="minorHAnsi" w:cstheme="minorHAnsi"/>
                <w:i/>
                <w:iCs/>
                <w:color w:val="000000"/>
                <w:sz w:val="20"/>
                <w:szCs w:val="20"/>
                <w:u w:color="000000"/>
                <w:lang w:eastAsia="en-US"/>
              </w:rPr>
              <w:t>  Standard Errors are parenthesis.</w:t>
            </w:r>
          </w:p>
          <w:p w14:paraId="14D0E434" w14:textId="77777777" w:rsidR="00AC1E99" w:rsidRPr="007C0F61" w:rsidRDefault="00AC1E99">
            <w:pPr>
              <w:autoSpaceDE w:val="0"/>
              <w:autoSpaceDN w:val="0"/>
              <w:adjustRightInd w:val="0"/>
              <w:spacing w:line="300" w:lineRule="atLeast"/>
              <w:rPr>
                <w:rFonts w:asciiTheme="minorHAnsi" w:eastAsiaTheme="minorHAnsi" w:hAnsiTheme="minorHAnsi" w:cstheme="minorHAnsi"/>
                <w:i/>
                <w:iCs/>
                <w:color w:val="000000"/>
                <w:sz w:val="20"/>
                <w:szCs w:val="20"/>
                <w:u w:color="000000"/>
                <w:lang w:eastAsia="en-US"/>
              </w:rPr>
            </w:pPr>
            <w:r w:rsidRPr="007C0F61">
              <w:rPr>
                <w:rFonts w:asciiTheme="minorHAnsi" w:eastAsiaTheme="minorHAnsi" w:hAnsiTheme="minorHAnsi" w:cstheme="minorHAnsi"/>
                <w:i/>
                <w:iCs/>
                <w:color w:val="000000"/>
                <w:sz w:val="20"/>
                <w:szCs w:val="20"/>
                <w:u w:color="000000"/>
                <w:lang w:eastAsia="en-US"/>
              </w:rPr>
              <w:t xml:space="preserve">*** significant at 0.1%, ** significant at 1%, * significant at 5% </w:t>
            </w:r>
          </w:p>
          <w:p w14:paraId="4A55364D" w14:textId="7D460399" w:rsidR="00AC1E99" w:rsidRPr="007C0F61" w:rsidRDefault="00AC1E99">
            <w:pPr>
              <w:autoSpaceDE w:val="0"/>
              <w:autoSpaceDN w:val="0"/>
              <w:adjustRightInd w:val="0"/>
              <w:spacing w:line="300" w:lineRule="atLeast"/>
              <w:rPr>
                <w:rFonts w:asciiTheme="minorHAnsi" w:eastAsiaTheme="minorHAnsi" w:hAnsiTheme="minorHAnsi" w:cstheme="minorHAnsi"/>
                <w:i/>
                <w:iCs/>
                <w:color w:val="000000"/>
                <w:sz w:val="20"/>
                <w:szCs w:val="20"/>
                <w:u w:color="000000"/>
                <w:lang w:eastAsia="en-US"/>
              </w:rPr>
            </w:pPr>
            <w:r w:rsidRPr="007C0F61">
              <w:rPr>
                <w:rFonts w:asciiTheme="minorHAnsi" w:eastAsiaTheme="minorHAnsi" w:hAnsiTheme="minorHAnsi" w:cstheme="minorHAnsi"/>
                <w:i/>
                <w:iCs/>
                <w:color w:val="000000"/>
                <w:sz w:val="20"/>
                <w:szCs w:val="20"/>
                <w:u w:color="000000"/>
                <w:lang w:eastAsia="en-US"/>
              </w:rPr>
              <w:t>Reference category is White</w:t>
            </w:r>
            <w:r w:rsidR="00AB65AB" w:rsidRPr="007C0F61">
              <w:rPr>
                <w:rFonts w:asciiTheme="minorHAnsi" w:eastAsiaTheme="minorHAnsi" w:hAnsiTheme="minorHAnsi" w:cstheme="minorHAnsi"/>
                <w:i/>
                <w:iCs/>
                <w:color w:val="000000"/>
                <w:sz w:val="20"/>
                <w:szCs w:val="20"/>
                <w:u w:color="000000"/>
                <w:lang w:eastAsia="en-US"/>
              </w:rPr>
              <w:t>.</w:t>
            </w:r>
            <w:r w:rsidRPr="007C0F61">
              <w:rPr>
                <w:rFonts w:asciiTheme="minorHAnsi" w:eastAsiaTheme="minorHAnsi" w:hAnsiTheme="minorHAnsi" w:cstheme="minorHAnsi"/>
                <w:i/>
                <w:iCs/>
                <w:color w:val="000000"/>
                <w:sz w:val="20"/>
                <w:szCs w:val="20"/>
                <w:u w:color="000000"/>
                <w:lang w:eastAsia="en-US"/>
              </w:rPr>
              <w:t>                                                                          </w:t>
            </w:r>
          </w:p>
        </w:tc>
      </w:tr>
    </w:tbl>
    <w:p w14:paraId="144DF341" w14:textId="184FAFF8" w:rsidR="00AB65AB" w:rsidRPr="007C0F61" w:rsidRDefault="00AB65AB" w:rsidP="009B37A8">
      <w:pPr>
        <w:autoSpaceDE w:val="0"/>
        <w:autoSpaceDN w:val="0"/>
        <w:adjustRightInd w:val="0"/>
        <w:spacing w:line="280" w:lineRule="atLeast"/>
        <w:rPr>
          <w:rFonts w:asciiTheme="minorHAnsi" w:eastAsiaTheme="minorHAnsi" w:hAnsiTheme="minorHAnsi" w:cstheme="minorHAnsi"/>
          <w:color w:val="000000"/>
          <w:sz w:val="20"/>
          <w:szCs w:val="20"/>
          <w:u w:color="000000"/>
          <w:lang w:eastAsia="en-US"/>
        </w:rPr>
      </w:pPr>
    </w:p>
    <w:p w14:paraId="29315770" w14:textId="1E78339C" w:rsidR="005325AE" w:rsidRPr="007C0F61" w:rsidRDefault="005325AE" w:rsidP="007449EE">
      <w:pPr>
        <w:jc w:val="both"/>
        <w:rPr>
          <w:rFonts w:asciiTheme="minorHAnsi" w:eastAsiaTheme="minorHAnsi" w:hAnsiTheme="minorHAnsi" w:cstheme="minorHAnsi"/>
          <w:sz w:val="20"/>
          <w:szCs w:val="20"/>
          <w:lang w:eastAsia="en-US"/>
        </w:rPr>
      </w:pPr>
      <w:r w:rsidRPr="007C0F61">
        <w:rPr>
          <w:rFonts w:asciiTheme="minorHAnsi" w:eastAsiaTheme="minorHAnsi" w:hAnsiTheme="minorHAnsi" w:cstheme="minorHAnsi"/>
          <w:sz w:val="20"/>
          <w:szCs w:val="20"/>
          <w:lang w:eastAsia="en-US"/>
        </w:rPr>
        <w:lastRenderedPageBreak/>
        <w:t xml:space="preserve">As seen from the odds ratio in the table above, the variables with </w:t>
      </w:r>
      <w:r w:rsidR="009B0AD5">
        <w:rPr>
          <w:rFonts w:asciiTheme="minorHAnsi" w:eastAsiaTheme="minorHAnsi" w:hAnsiTheme="minorHAnsi" w:cstheme="minorHAnsi"/>
          <w:sz w:val="20"/>
          <w:szCs w:val="20"/>
          <w:lang w:eastAsia="en-US"/>
        </w:rPr>
        <w:t xml:space="preserve">an </w:t>
      </w:r>
      <w:r w:rsidRPr="007C0F61">
        <w:rPr>
          <w:rFonts w:asciiTheme="minorHAnsi" w:eastAsiaTheme="minorHAnsi" w:hAnsiTheme="minorHAnsi" w:cstheme="minorHAnsi"/>
          <w:sz w:val="20"/>
          <w:szCs w:val="20"/>
          <w:lang w:eastAsia="en-US"/>
        </w:rPr>
        <w:t xml:space="preserve">odd ratio less </w:t>
      </w:r>
      <w:r w:rsidR="009B0AD5">
        <w:rPr>
          <w:rFonts w:asciiTheme="minorHAnsi" w:eastAsiaTheme="minorHAnsi" w:hAnsiTheme="minorHAnsi" w:cstheme="minorHAnsi"/>
          <w:sz w:val="20"/>
          <w:szCs w:val="20"/>
          <w:lang w:eastAsia="en-US"/>
        </w:rPr>
        <w:t>than 1 decrease</w:t>
      </w:r>
      <w:r w:rsidRPr="007C0F61">
        <w:rPr>
          <w:rFonts w:asciiTheme="minorHAnsi" w:eastAsiaTheme="minorHAnsi" w:hAnsiTheme="minorHAnsi" w:cstheme="minorHAnsi"/>
          <w:sz w:val="20"/>
          <w:szCs w:val="20"/>
          <w:lang w:eastAsia="en-US"/>
        </w:rPr>
        <w:t xml:space="preserve"> the odds of loan approval while greater than 1 increases the odds of loan approval.</w:t>
      </w:r>
      <w:r w:rsidR="00B92D49" w:rsidRPr="007C0F61">
        <w:rPr>
          <w:rFonts w:asciiTheme="minorHAnsi" w:eastAsiaTheme="minorHAnsi" w:hAnsiTheme="minorHAnsi" w:cstheme="minorHAnsi"/>
          <w:sz w:val="20"/>
          <w:szCs w:val="20"/>
          <w:lang w:eastAsia="en-US"/>
        </w:rPr>
        <w:t xml:space="preserve"> </w:t>
      </w:r>
      <w:r w:rsidR="007449EE" w:rsidRPr="007C0F61">
        <w:rPr>
          <w:rFonts w:asciiTheme="minorHAnsi" w:eastAsiaTheme="minorHAnsi" w:hAnsiTheme="minorHAnsi" w:cstheme="minorHAnsi"/>
          <w:sz w:val="20"/>
          <w:szCs w:val="20"/>
          <w:lang w:eastAsia="en-US"/>
        </w:rPr>
        <w:t>Therefore</w:t>
      </w:r>
      <w:r w:rsidR="00B92D49" w:rsidRPr="007C0F61">
        <w:rPr>
          <w:rFonts w:asciiTheme="minorHAnsi" w:eastAsiaTheme="minorHAnsi" w:hAnsiTheme="minorHAnsi" w:cstheme="minorHAnsi"/>
          <w:sz w:val="20"/>
          <w:szCs w:val="20"/>
          <w:lang w:eastAsia="en-US"/>
        </w:rPr>
        <w:t>, controlling for other variables, increase in 1% point in DTI leads to an estimate</w:t>
      </w:r>
      <w:r w:rsidR="009B0AD5">
        <w:rPr>
          <w:rFonts w:asciiTheme="minorHAnsi" w:eastAsiaTheme="minorHAnsi" w:hAnsiTheme="minorHAnsi" w:cstheme="minorHAnsi"/>
          <w:sz w:val="20"/>
          <w:szCs w:val="20"/>
          <w:lang w:eastAsia="en-US"/>
        </w:rPr>
        <w:t>d</w:t>
      </w:r>
      <w:r w:rsidR="00B92D49" w:rsidRPr="007C0F61">
        <w:rPr>
          <w:rFonts w:asciiTheme="minorHAnsi" w:eastAsiaTheme="minorHAnsi" w:hAnsiTheme="minorHAnsi" w:cstheme="minorHAnsi"/>
          <w:sz w:val="20"/>
          <w:szCs w:val="20"/>
          <w:lang w:eastAsia="en-US"/>
        </w:rPr>
        <w:t xml:space="preserve"> </w:t>
      </w:r>
      <w:r w:rsidR="002E52E2" w:rsidRPr="007C0F61">
        <w:rPr>
          <w:rFonts w:asciiTheme="minorHAnsi" w:eastAsiaTheme="minorHAnsi" w:hAnsiTheme="minorHAnsi" w:cstheme="minorHAnsi"/>
          <w:sz w:val="20"/>
          <w:szCs w:val="20"/>
          <w:lang w:eastAsia="en-US"/>
        </w:rPr>
        <w:t>decrease of 2.7%</w:t>
      </w:r>
      <w:r w:rsidR="007449EE" w:rsidRPr="007C0F61">
        <w:rPr>
          <w:rFonts w:asciiTheme="minorHAnsi" w:eastAsiaTheme="minorHAnsi" w:hAnsiTheme="minorHAnsi" w:cstheme="minorHAnsi"/>
          <w:sz w:val="20"/>
          <w:szCs w:val="20"/>
          <w:lang w:eastAsia="en-US"/>
        </w:rPr>
        <w:t xml:space="preserve"> in the odds of approval. Similarly, holding everything else constant, increase in 1% point in LTV leads to an estimate</w:t>
      </w:r>
      <w:r w:rsidR="009B0AD5">
        <w:rPr>
          <w:rFonts w:asciiTheme="minorHAnsi" w:eastAsiaTheme="minorHAnsi" w:hAnsiTheme="minorHAnsi" w:cstheme="minorHAnsi"/>
          <w:sz w:val="20"/>
          <w:szCs w:val="20"/>
          <w:lang w:eastAsia="en-US"/>
        </w:rPr>
        <w:t>d</w:t>
      </w:r>
      <w:r w:rsidR="007449EE" w:rsidRPr="007C0F61">
        <w:rPr>
          <w:rFonts w:asciiTheme="minorHAnsi" w:eastAsiaTheme="minorHAnsi" w:hAnsiTheme="minorHAnsi" w:cstheme="minorHAnsi"/>
          <w:sz w:val="20"/>
          <w:szCs w:val="20"/>
          <w:lang w:eastAsia="en-US"/>
        </w:rPr>
        <w:t xml:space="preserve"> decrease of 1.6% in the odds of approval.</w:t>
      </w:r>
    </w:p>
    <w:p w14:paraId="512AB68D" w14:textId="3A558D3F" w:rsidR="00B92D49" w:rsidRPr="007C0F61" w:rsidRDefault="00B92D49" w:rsidP="00BA67F8">
      <w:pPr>
        <w:pStyle w:val="NoSpacing"/>
        <w:jc w:val="both"/>
        <w:rPr>
          <w:rFonts w:cstheme="minorHAnsi"/>
          <w:sz w:val="20"/>
          <w:szCs w:val="20"/>
        </w:rPr>
      </w:pPr>
    </w:p>
    <w:p w14:paraId="1FC5660B" w14:textId="4392D677" w:rsidR="00CD56C7" w:rsidRPr="007C0F61" w:rsidRDefault="00591DED" w:rsidP="00740CBD">
      <w:pPr>
        <w:pStyle w:val="NoSpacing"/>
        <w:jc w:val="both"/>
        <w:rPr>
          <w:rFonts w:cstheme="minorHAnsi"/>
          <w:sz w:val="20"/>
          <w:szCs w:val="20"/>
        </w:rPr>
      </w:pPr>
      <w:r w:rsidRPr="007C0F61">
        <w:rPr>
          <w:rFonts w:cstheme="minorHAnsi"/>
          <w:sz w:val="20"/>
          <w:szCs w:val="20"/>
        </w:rPr>
        <w:t xml:space="preserve">Controlling for other variables, married applicants face an estimate </w:t>
      </w:r>
      <w:r w:rsidR="005110E6" w:rsidRPr="007C0F61">
        <w:rPr>
          <w:rFonts w:cstheme="minorHAnsi"/>
          <w:sz w:val="20"/>
          <w:szCs w:val="20"/>
        </w:rPr>
        <w:t>of 1.63 times greater odds of loan approval than Single applicants;</w:t>
      </w:r>
      <w:r w:rsidR="009B0AD5">
        <w:rPr>
          <w:rFonts w:cstheme="minorHAnsi"/>
          <w:sz w:val="20"/>
          <w:szCs w:val="20"/>
        </w:rPr>
        <w:t xml:space="preserve"> while applicants who meet the </w:t>
      </w:r>
      <w:proofErr w:type="gramStart"/>
      <w:r w:rsidR="0041060F" w:rsidRPr="007C0F61">
        <w:rPr>
          <w:rFonts w:cstheme="minorHAnsi"/>
          <w:sz w:val="20"/>
          <w:szCs w:val="20"/>
        </w:rPr>
        <w:t>credit</w:t>
      </w:r>
      <w:proofErr w:type="gramEnd"/>
      <w:r w:rsidR="0041060F" w:rsidRPr="007C0F61">
        <w:rPr>
          <w:rFonts w:cstheme="minorHAnsi"/>
          <w:sz w:val="20"/>
          <w:szCs w:val="20"/>
        </w:rPr>
        <w:t xml:space="preserve"> guidelines have an estimate of 47.19 times higher odds of loan approval than </w:t>
      </w:r>
      <w:r w:rsidR="009B0AD5">
        <w:rPr>
          <w:rFonts w:cstheme="minorHAnsi"/>
          <w:sz w:val="20"/>
          <w:szCs w:val="20"/>
        </w:rPr>
        <w:t>the applicant</w:t>
      </w:r>
      <w:r w:rsidR="003A6F3E" w:rsidRPr="007C0F61">
        <w:rPr>
          <w:rFonts w:cstheme="minorHAnsi"/>
          <w:sz w:val="20"/>
          <w:szCs w:val="20"/>
        </w:rPr>
        <w:t>s who do not meet the credit guidelines.</w:t>
      </w:r>
      <w:r w:rsidR="00B873CF" w:rsidRPr="007C0F61">
        <w:rPr>
          <w:rFonts w:cstheme="minorHAnsi"/>
          <w:sz w:val="20"/>
          <w:szCs w:val="20"/>
        </w:rPr>
        <w:t xml:space="preserve"> We find that </w:t>
      </w:r>
      <w:r w:rsidR="00D61492" w:rsidRPr="007C0F61">
        <w:rPr>
          <w:rFonts w:cstheme="minorHAnsi"/>
          <w:sz w:val="20"/>
          <w:szCs w:val="20"/>
        </w:rPr>
        <w:t xml:space="preserve">after controlling for all other variables, </w:t>
      </w:r>
      <w:r w:rsidR="00991653" w:rsidRPr="007C0F61">
        <w:rPr>
          <w:rFonts w:cstheme="minorHAnsi"/>
          <w:sz w:val="20"/>
          <w:szCs w:val="20"/>
        </w:rPr>
        <w:t>odds of loan approval for White applicants are 2.46 times and 2.06 times greater in comparison to Bl</w:t>
      </w:r>
      <w:r w:rsidR="00D61492" w:rsidRPr="007C0F61">
        <w:rPr>
          <w:rFonts w:cstheme="minorHAnsi"/>
          <w:sz w:val="20"/>
          <w:szCs w:val="20"/>
        </w:rPr>
        <w:t>acks and Hispanics respectively. This provides evidence to reject our null hypothesis (H</w:t>
      </w:r>
      <w:r w:rsidR="00D61492" w:rsidRPr="007C0F61">
        <w:rPr>
          <w:rFonts w:cstheme="minorHAnsi"/>
          <w:sz w:val="20"/>
          <w:szCs w:val="20"/>
          <w:vertAlign w:val="subscript"/>
        </w:rPr>
        <w:t>0</w:t>
      </w:r>
      <w:r w:rsidR="00D61492" w:rsidRPr="007C0F61">
        <w:rPr>
          <w:rFonts w:cstheme="minorHAnsi"/>
          <w:sz w:val="20"/>
          <w:szCs w:val="20"/>
        </w:rPr>
        <w:t xml:space="preserve"> = Racial Discrimination doesn’t </w:t>
      </w:r>
      <w:r w:rsidR="009B0AD5">
        <w:rPr>
          <w:rFonts w:cstheme="minorHAnsi"/>
          <w:sz w:val="20"/>
          <w:szCs w:val="20"/>
        </w:rPr>
        <w:t>exist</w:t>
      </w:r>
      <w:r w:rsidR="00D61492" w:rsidRPr="007C0F61">
        <w:rPr>
          <w:rFonts w:cstheme="minorHAnsi"/>
          <w:sz w:val="20"/>
          <w:szCs w:val="20"/>
        </w:rPr>
        <w:t>) wherein White applicants are being favored for loan approval while Blacks and Hispanics are denied more often.</w:t>
      </w:r>
    </w:p>
    <w:p w14:paraId="08F2589E" w14:textId="77777777" w:rsidR="00740CBD" w:rsidRPr="007C0F61" w:rsidRDefault="00740CBD" w:rsidP="00740CBD">
      <w:pPr>
        <w:pStyle w:val="NoSpacing"/>
        <w:jc w:val="both"/>
        <w:rPr>
          <w:rFonts w:cstheme="minorHAnsi"/>
          <w:sz w:val="20"/>
          <w:szCs w:val="20"/>
        </w:rPr>
      </w:pPr>
    </w:p>
    <w:tbl>
      <w:tblPr>
        <w:tblW w:w="6487" w:type="dxa"/>
        <w:jc w:val="center"/>
        <w:tblBorders>
          <w:top w:val="nil"/>
          <w:left w:val="nil"/>
          <w:right w:val="nil"/>
        </w:tblBorders>
        <w:tblLayout w:type="fixed"/>
        <w:tblLook w:val="0000" w:firstRow="0" w:lastRow="0" w:firstColumn="0" w:lastColumn="0" w:noHBand="0" w:noVBand="0"/>
      </w:tblPr>
      <w:tblGrid>
        <w:gridCol w:w="3794"/>
        <w:gridCol w:w="850"/>
        <w:gridCol w:w="993"/>
        <w:gridCol w:w="850"/>
      </w:tblGrid>
      <w:tr w:rsidR="00CD56C7" w:rsidRPr="007C0F61" w14:paraId="3C3C8A62" w14:textId="77777777" w:rsidTr="00CD56C7">
        <w:trPr>
          <w:jc w:val="center"/>
        </w:trPr>
        <w:tc>
          <w:tcPr>
            <w:tcW w:w="6487" w:type="dxa"/>
            <w:gridSpan w:val="4"/>
            <w:tcBorders>
              <w:top w:val="single" w:sz="8" w:space="0" w:color="000000"/>
              <w:left w:val="single" w:sz="8" w:space="0" w:color="000000"/>
              <w:bottom w:val="single" w:sz="16" w:space="0" w:color="000000"/>
              <w:right w:val="single" w:sz="8" w:space="0" w:color="000000"/>
            </w:tcBorders>
            <w:tcMar>
              <w:top w:w="20" w:type="nil"/>
              <w:left w:w="20" w:type="nil"/>
              <w:right w:w="20" w:type="nil"/>
            </w:tcMar>
            <w:vAlign w:val="bottom"/>
          </w:tcPr>
          <w:p w14:paraId="4D22FA84"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b/>
                <w:bCs/>
                <w:color w:val="000000"/>
                <w:sz w:val="20"/>
                <w:szCs w:val="20"/>
                <w:lang w:eastAsia="en-US"/>
              </w:rPr>
              <w:t>Table 3</w:t>
            </w:r>
            <w:r w:rsidRPr="007C0F61">
              <w:rPr>
                <w:rFonts w:asciiTheme="minorHAnsi" w:eastAsiaTheme="minorHAnsi" w:hAnsiTheme="minorHAnsi" w:cstheme="minorHAnsi"/>
                <w:color w:val="000000"/>
                <w:sz w:val="20"/>
                <w:szCs w:val="20"/>
                <w:lang w:eastAsia="en-US"/>
              </w:rPr>
              <w:t>: Predicted Probability of Loan Approval (Logit Model)</w:t>
            </w:r>
          </w:p>
        </w:tc>
      </w:tr>
      <w:tr w:rsidR="00CD56C7" w:rsidRPr="007C0F61" w14:paraId="3B036308" w14:textId="77777777" w:rsidTr="00CD56C7">
        <w:tblPrEx>
          <w:tblBorders>
            <w:top w:val="none" w:sz="0" w:space="0" w:color="auto"/>
          </w:tblBorders>
        </w:tblPrEx>
        <w:trPr>
          <w:jc w:val="center"/>
        </w:trPr>
        <w:tc>
          <w:tcPr>
            <w:tcW w:w="3794" w:type="dxa"/>
            <w:tcBorders>
              <w:left w:val="single" w:sz="8" w:space="0" w:color="000000"/>
            </w:tcBorders>
            <w:tcMar>
              <w:top w:w="20" w:type="nil"/>
              <w:left w:w="20" w:type="nil"/>
              <w:right w:w="20" w:type="nil"/>
            </w:tcMar>
            <w:vAlign w:val="bottom"/>
          </w:tcPr>
          <w:p w14:paraId="79959422"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693" w:type="dxa"/>
            <w:gridSpan w:val="3"/>
            <w:tcBorders>
              <w:top w:val="single" w:sz="16" w:space="0" w:color="000000"/>
              <w:bottom w:val="single" w:sz="8" w:space="0" w:color="000000"/>
              <w:right w:val="single" w:sz="8" w:space="0" w:color="000000"/>
            </w:tcBorders>
            <w:tcMar>
              <w:top w:w="20" w:type="nil"/>
              <w:left w:w="20" w:type="nil"/>
              <w:right w:w="20" w:type="nil"/>
            </w:tcMar>
            <w:vAlign w:val="bottom"/>
          </w:tcPr>
          <w:p w14:paraId="7A60E7F1" w14:textId="77777777" w:rsidR="00CD56C7" w:rsidRPr="007C0F61" w:rsidRDefault="00CD56C7">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Race</w:t>
            </w:r>
          </w:p>
        </w:tc>
      </w:tr>
      <w:tr w:rsidR="00CD56C7" w:rsidRPr="007C0F61" w14:paraId="041E6B10" w14:textId="77777777" w:rsidTr="00CD56C7">
        <w:tblPrEx>
          <w:tblBorders>
            <w:top w:val="none" w:sz="0" w:space="0" w:color="auto"/>
          </w:tblBorders>
        </w:tblPrEx>
        <w:trPr>
          <w:jc w:val="center"/>
        </w:trPr>
        <w:tc>
          <w:tcPr>
            <w:tcW w:w="3794" w:type="dxa"/>
            <w:tcBorders>
              <w:left w:val="single" w:sz="8" w:space="0" w:color="000000"/>
              <w:bottom w:val="single" w:sz="8" w:space="0" w:color="000000"/>
            </w:tcBorders>
            <w:tcMar>
              <w:top w:w="20" w:type="nil"/>
              <w:left w:w="20" w:type="nil"/>
              <w:right w:w="20" w:type="nil"/>
            </w:tcMar>
            <w:vAlign w:val="bottom"/>
          </w:tcPr>
          <w:p w14:paraId="0BFAFAAF"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850" w:type="dxa"/>
            <w:tcMar>
              <w:top w:w="20" w:type="nil"/>
              <w:left w:w="20" w:type="nil"/>
              <w:right w:w="20" w:type="nil"/>
            </w:tcMar>
            <w:vAlign w:val="bottom"/>
          </w:tcPr>
          <w:p w14:paraId="366FB7B5"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White</w:t>
            </w:r>
          </w:p>
        </w:tc>
        <w:tc>
          <w:tcPr>
            <w:tcW w:w="993" w:type="dxa"/>
            <w:tcBorders>
              <w:bottom w:val="single" w:sz="8" w:space="0" w:color="000000"/>
            </w:tcBorders>
            <w:tcMar>
              <w:top w:w="20" w:type="nil"/>
              <w:left w:w="20" w:type="nil"/>
              <w:right w:w="20" w:type="nil"/>
            </w:tcMar>
            <w:vAlign w:val="bottom"/>
          </w:tcPr>
          <w:p w14:paraId="76E77411"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Hispanic</w:t>
            </w:r>
          </w:p>
        </w:tc>
        <w:tc>
          <w:tcPr>
            <w:tcW w:w="850" w:type="dxa"/>
            <w:tcBorders>
              <w:bottom w:val="single" w:sz="8" w:space="0" w:color="000000"/>
              <w:right w:val="single" w:sz="8" w:space="0" w:color="000000"/>
            </w:tcBorders>
            <w:tcMar>
              <w:top w:w="20" w:type="nil"/>
              <w:left w:w="20" w:type="nil"/>
              <w:right w:w="20" w:type="nil"/>
            </w:tcMar>
            <w:vAlign w:val="bottom"/>
          </w:tcPr>
          <w:p w14:paraId="285C9DCC"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Black</w:t>
            </w:r>
          </w:p>
        </w:tc>
      </w:tr>
      <w:tr w:rsidR="00CD56C7" w:rsidRPr="007C0F61" w14:paraId="66E02E51" w14:textId="77777777" w:rsidTr="00CD56C7">
        <w:tblPrEx>
          <w:tblBorders>
            <w:top w:val="none" w:sz="0" w:space="0" w:color="auto"/>
          </w:tblBorders>
        </w:tblPrEx>
        <w:trPr>
          <w:jc w:val="center"/>
        </w:trPr>
        <w:tc>
          <w:tcPr>
            <w:tcW w:w="3794" w:type="dxa"/>
            <w:tcBorders>
              <w:left w:val="single" w:sz="8" w:space="0" w:color="000000"/>
              <w:right w:val="single" w:sz="8" w:space="0" w:color="000000"/>
            </w:tcBorders>
            <w:tcMar>
              <w:top w:w="20" w:type="nil"/>
              <w:left w:w="20" w:type="nil"/>
              <w:right w:w="20" w:type="nil"/>
            </w:tcMar>
            <w:vAlign w:val="bottom"/>
          </w:tcPr>
          <w:p w14:paraId="1DFDF106"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 &amp; Meeting Credit Guidelines</w:t>
            </w:r>
          </w:p>
        </w:tc>
        <w:tc>
          <w:tcPr>
            <w:tcW w:w="850" w:type="dxa"/>
            <w:tcBorders>
              <w:top w:val="single" w:sz="8" w:space="0" w:color="000000"/>
              <w:right w:val="single" w:sz="8" w:space="0" w:color="000000"/>
            </w:tcBorders>
            <w:tcMar>
              <w:top w:w="20" w:type="nil"/>
              <w:left w:w="20" w:type="nil"/>
              <w:right w:w="20" w:type="nil"/>
            </w:tcMar>
          </w:tcPr>
          <w:p w14:paraId="32142D1A"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0.9603</w:t>
            </w:r>
          </w:p>
        </w:tc>
        <w:tc>
          <w:tcPr>
            <w:tcW w:w="993" w:type="dxa"/>
            <w:tcMar>
              <w:top w:w="20" w:type="nil"/>
              <w:left w:w="20" w:type="nil"/>
              <w:right w:w="20" w:type="nil"/>
            </w:tcMar>
          </w:tcPr>
          <w:p w14:paraId="4B130195"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0.9217</w:t>
            </w:r>
          </w:p>
        </w:tc>
        <w:tc>
          <w:tcPr>
            <w:tcW w:w="850" w:type="dxa"/>
            <w:tcBorders>
              <w:left w:val="single" w:sz="8" w:space="0" w:color="000000"/>
              <w:right w:val="single" w:sz="8" w:space="0" w:color="000000"/>
            </w:tcBorders>
            <w:tcMar>
              <w:top w:w="20" w:type="nil"/>
              <w:left w:w="20" w:type="nil"/>
              <w:right w:w="20" w:type="nil"/>
            </w:tcMar>
          </w:tcPr>
          <w:p w14:paraId="33308161"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0.9076</w:t>
            </w:r>
          </w:p>
        </w:tc>
      </w:tr>
      <w:tr w:rsidR="00CD56C7" w:rsidRPr="007C0F61" w14:paraId="64F206B1" w14:textId="77777777" w:rsidTr="00CD56C7">
        <w:tblPrEx>
          <w:tblBorders>
            <w:top w:val="none" w:sz="0" w:space="0" w:color="auto"/>
          </w:tblBorders>
        </w:tblPrEx>
        <w:trPr>
          <w:jc w:val="center"/>
        </w:trPr>
        <w:tc>
          <w:tcPr>
            <w:tcW w:w="3794" w:type="dxa"/>
            <w:tcBorders>
              <w:left w:val="single" w:sz="8" w:space="0" w:color="000000"/>
              <w:right w:val="single" w:sz="8" w:space="0" w:color="000000"/>
            </w:tcBorders>
            <w:tcMar>
              <w:top w:w="20" w:type="nil"/>
              <w:left w:w="20" w:type="nil"/>
              <w:right w:w="20" w:type="nil"/>
            </w:tcMar>
            <w:vAlign w:val="bottom"/>
          </w:tcPr>
          <w:p w14:paraId="415DCF97"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 &amp; Not Meeting Credit Guidelines</w:t>
            </w:r>
          </w:p>
        </w:tc>
        <w:tc>
          <w:tcPr>
            <w:tcW w:w="850" w:type="dxa"/>
            <w:tcMar>
              <w:top w:w="20" w:type="nil"/>
              <w:left w:w="20" w:type="nil"/>
              <w:right w:w="20" w:type="nil"/>
            </w:tcMar>
          </w:tcPr>
          <w:p w14:paraId="46F1987D"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0.3390</w:t>
            </w:r>
          </w:p>
        </w:tc>
        <w:tc>
          <w:tcPr>
            <w:tcW w:w="993" w:type="dxa"/>
            <w:tcBorders>
              <w:left w:val="single" w:sz="8" w:space="0" w:color="000000"/>
            </w:tcBorders>
            <w:tcMar>
              <w:top w:w="20" w:type="nil"/>
              <w:left w:w="20" w:type="nil"/>
              <w:right w:w="20" w:type="nil"/>
            </w:tcMar>
          </w:tcPr>
          <w:p w14:paraId="3D73DBF0"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0.1996</w:t>
            </w:r>
          </w:p>
        </w:tc>
        <w:tc>
          <w:tcPr>
            <w:tcW w:w="850" w:type="dxa"/>
            <w:tcBorders>
              <w:left w:val="single" w:sz="8" w:space="0" w:color="000000"/>
              <w:right w:val="single" w:sz="8" w:space="0" w:color="000000"/>
            </w:tcBorders>
            <w:tcMar>
              <w:top w:w="20" w:type="nil"/>
              <w:left w:w="20" w:type="nil"/>
              <w:right w:w="20" w:type="nil"/>
            </w:tcMar>
          </w:tcPr>
          <w:p w14:paraId="20C94894"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0.1723</w:t>
            </w:r>
          </w:p>
        </w:tc>
      </w:tr>
      <w:tr w:rsidR="00CD56C7" w:rsidRPr="007C0F61" w14:paraId="78C728A8" w14:textId="77777777" w:rsidTr="00CD56C7">
        <w:tblPrEx>
          <w:tblBorders>
            <w:top w:val="none" w:sz="0" w:space="0" w:color="auto"/>
          </w:tblBorders>
        </w:tblPrEx>
        <w:trPr>
          <w:jc w:val="center"/>
        </w:trPr>
        <w:tc>
          <w:tcPr>
            <w:tcW w:w="3794" w:type="dxa"/>
            <w:tcBorders>
              <w:left w:val="single" w:sz="8" w:space="0" w:color="000000"/>
              <w:right w:val="single" w:sz="8" w:space="0" w:color="000000"/>
            </w:tcBorders>
            <w:tcMar>
              <w:top w:w="20" w:type="nil"/>
              <w:left w:w="20" w:type="nil"/>
              <w:right w:w="20" w:type="nil"/>
            </w:tcMar>
            <w:vAlign w:val="bottom"/>
          </w:tcPr>
          <w:p w14:paraId="33F7A598"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Single &amp; Meeting Credit Guidelines</w:t>
            </w:r>
          </w:p>
        </w:tc>
        <w:tc>
          <w:tcPr>
            <w:tcW w:w="850" w:type="dxa"/>
            <w:tcMar>
              <w:top w:w="20" w:type="nil"/>
              <w:left w:w="20" w:type="nil"/>
              <w:right w:w="20" w:type="nil"/>
            </w:tcMar>
          </w:tcPr>
          <w:p w14:paraId="3E988445"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0.9370</w:t>
            </w:r>
          </w:p>
        </w:tc>
        <w:tc>
          <w:tcPr>
            <w:tcW w:w="993" w:type="dxa"/>
            <w:tcBorders>
              <w:left w:val="single" w:sz="8" w:space="0" w:color="000000"/>
            </w:tcBorders>
            <w:tcMar>
              <w:top w:w="20" w:type="nil"/>
              <w:left w:w="20" w:type="nil"/>
              <w:right w:w="20" w:type="nil"/>
            </w:tcMar>
          </w:tcPr>
          <w:p w14:paraId="7C1732EA"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0.8785</w:t>
            </w:r>
          </w:p>
        </w:tc>
        <w:tc>
          <w:tcPr>
            <w:tcW w:w="850" w:type="dxa"/>
            <w:tcBorders>
              <w:left w:val="single" w:sz="8" w:space="0" w:color="000000"/>
              <w:right w:val="single" w:sz="8" w:space="0" w:color="000000"/>
            </w:tcBorders>
            <w:tcMar>
              <w:top w:w="20" w:type="nil"/>
              <w:left w:w="20" w:type="nil"/>
              <w:right w:w="20" w:type="nil"/>
            </w:tcMar>
          </w:tcPr>
          <w:p w14:paraId="210931C5"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0.8578</w:t>
            </w:r>
          </w:p>
        </w:tc>
      </w:tr>
      <w:tr w:rsidR="00CD56C7" w:rsidRPr="007C0F61" w14:paraId="65135FF6" w14:textId="77777777" w:rsidTr="00CD56C7">
        <w:tblPrEx>
          <w:tblBorders>
            <w:top w:val="none" w:sz="0" w:space="0" w:color="auto"/>
          </w:tblBorders>
        </w:tblPrEx>
        <w:trPr>
          <w:jc w:val="center"/>
        </w:trPr>
        <w:tc>
          <w:tcPr>
            <w:tcW w:w="3794" w:type="dxa"/>
            <w:tcBorders>
              <w:left w:val="single" w:sz="8" w:space="0" w:color="000000"/>
              <w:right w:val="single" w:sz="8" w:space="0" w:color="000000"/>
            </w:tcBorders>
            <w:tcMar>
              <w:top w:w="20" w:type="nil"/>
              <w:left w:w="20" w:type="nil"/>
              <w:right w:w="20" w:type="nil"/>
            </w:tcMar>
            <w:vAlign w:val="bottom"/>
          </w:tcPr>
          <w:p w14:paraId="0B6FA9EC" w14:textId="458F21BC"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Single &amp; </w:t>
            </w:r>
            <w:r w:rsidR="00740CBD" w:rsidRPr="007C0F61">
              <w:rPr>
                <w:rFonts w:asciiTheme="minorHAnsi" w:eastAsiaTheme="minorHAnsi" w:hAnsiTheme="minorHAnsi" w:cstheme="minorHAnsi"/>
                <w:color w:val="000000"/>
                <w:sz w:val="20"/>
                <w:szCs w:val="20"/>
                <w:lang w:eastAsia="en-US"/>
              </w:rPr>
              <w:t xml:space="preserve">Not </w:t>
            </w:r>
            <w:r w:rsidRPr="007C0F61">
              <w:rPr>
                <w:rFonts w:asciiTheme="minorHAnsi" w:eastAsiaTheme="minorHAnsi" w:hAnsiTheme="minorHAnsi" w:cstheme="minorHAnsi"/>
                <w:color w:val="000000"/>
                <w:sz w:val="20"/>
                <w:szCs w:val="20"/>
                <w:lang w:eastAsia="en-US"/>
              </w:rPr>
              <w:t>Meeting Credit Guidelines</w:t>
            </w:r>
          </w:p>
        </w:tc>
        <w:tc>
          <w:tcPr>
            <w:tcW w:w="850" w:type="dxa"/>
            <w:tcMar>
              <w:top w:w="20" w:type="nil"/>
              <w:left w:w="20" w:type="nil"/>
              <w:right w:w="20" w:type="nil"/>
            </w:tcMar>
          </w:tcPr>
          <w:p w14:paraId="55D683FF"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0.2395</w:t>
            </w:r>
          </w:p>
        </w:tc>
        <w:tc>
          <w:tcPr>
            <w:tcW w:w="993" w:type="dxa"/>
            <w:tcBorders>
              <w:left w:val="single" w:sz="8" w:space="0" w:color="000000"/>
            </w:tcBorders>
            <w:tcMar>
              <w:top w:w="20" w:type="nil"/>
              <w:left w:w="20" w:type="nil"/>
              <w:right w:w="20" w:type="nil"/>
            </w:tcMar>
          </w:tcPr>
          <w:p w14:paraId="2192AF7F"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0.1328</w:t>
            </w:r>
          </w:p>
        </w:tc>
        <w:tc>
          <w:tcPr>
            <w:tcW w:w="850" w:type="dxa"/>
            <w:tcBorders>
              <w:left w:val="single" w:sz="8" w:space="0" w:color="000000"/>
              <w:right w:val="single" w:sz="8" w:space="0" w:color="000000"/>
            </w:tcBorders>
            <w:tcMar>
              <w:top w:w="20" w:type="nil"/>
              <w:left w:w="20" w:type="nil"/>
              <w:right w:w="20" w:type="nil"/>
            </w:tcMar>
          </w:tcPr>
          <w:p w14:paraId="13635728"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0.1134</w:t>
            </w:r>
          </w:p>
        </w:tc>
      </w:tr>
      <w:tr w:rsidR="00CD56C7" w:rsidRPr="007C0F61" w14:paraId="65197E68" w14:textId="77777777" w:rsidTr="00CD56C7">
        <w:trPr>
          <w:jc w:val="center"/>
        </w:trPr>
        <w:tc>
          <w:tcPr>
            <w:tcW w:w="6487" w:type="dxa"/>
            <w:gridSpan w:val="4"/>
            <w:tcBorders>
              <w:top w:val="single" w:sz="8" w:space="0" w:color="000000"/>
              <w:left w:val="single" w:sz="8" w:space="0" w:color="000000"/>
              <w:bottom w:val="single" w:sz="8" w:space="0" w:color="000000"/>
              <w:right w:val="single" w:sz="8" w:space="0" w:color="000000"/>
            </w:tcBorders>
            <w:tcMar>
              <w:top w:w="20" w:type="nil"/>
              <w:left w:w="20" w:type="nil"/>
              <w:right w:w="20" w:type="nil"/>
            </w:tcMar>
            <w:vAlign w:val="bottom"/>
          </w:tcPr>
          <w:p w14:paraId="6E99BF95" w14:textId="77777777" w:rsidR="00CD56C7" w:rsidRPr="007C0F61" w:rsidRDefault="00CD56C7">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Note: Mean </w:t>
            </w:r>
            <w:r w:rsidR="00740CBD" w:rsidRPr="007C0F61">
              <w:rPr>
                <w:rFonts w:asciiTheme="minorHAnsi" w:eastAsiaTheme="minorHAnsi" w:hAnsiTheme="minorHAnsi" w:cstheme="minorHAnsi"/>
                <w:color w:val="000000"/>
                <w:sz w:val="20"/>
                <w:szCs w:val="20"/>
                <w:lang w:eastAsia="en-US"/>
              </w:rPr>
              <w:t>DTI</w:t>
            </w:r>
            <w:r w:rsidRPr="007C0F61">
              <w:rPr>
                <w:rFonts w:asciiTheme="minorHAnsi" w:eastAsiaTheme="minorHAnsi" w:hAnsiTheme="minorHAnsi" w:cstheme="minorHAnsi"/>
                <w:color w:val="000000"/>
                <w:sz w:val="20"/>
                <w:szCs w:val="20"/>
                <w:lang w:eastAsia="en-US"/>
              </w:rPr>
              <w:t>: 32.39</w:t>
            </w:r>
            <w:proofErr w:type="gramStart"/>
            <w:r w:rsidRPr="007C0F61">
              <w:rPr>
                <w:rFonts w:asciiTheme="minorHAnsi" w:eastAsiaTheme="minorHAnsi" w:hAnsiTheme="minorHAnsi" w:cstheme="minorHAnsi"/>
                <w:color w:val="000000"/>
                <w:sz w:val="20"/>
                <w:szCs w:val="20"/>
                <w:lang w:eastAsia="en-US"/>
              </w:rPr>
              <w:t>% ,</w:t>
            </w:r>
            <w:proofErr w:type="gramEnd"/>
            <w:r w:rsidR="006C704D" w:rsidRPr="007C0F61">
              <w:rPr>
                <w:rFonts w:asciiTheme="minorHAnsi" w:eastAsiaTheme="minorHAnsi" w:hAnsiTheme="minorHAnsi" w:cstheme="minorHAnsi"/>
                <w:color w:val="000000"/>
                <w:sz w:val="20"/>
                <w:szCs w:val="20"/>
                <w:lang w:eastAsia="en-US"/>
              </w:rPr>
              <w:t xml:space="preserve"> </w:t>
            </w:r>
            <w:r w:rsidRPr="007C0F61">
              <w:rPr>
                <w:rFonts w:asciiTheme="minorHAnsi" w:eastAsiaTheme="minorHAnsi" w:hAnsiTheme="minorHAnsi" w:cstheme="minorHAnsi"/>
                <w:color w:val="000000"/>
                <w:sz w:val="20"/>
                <w:szCs w:val="20"/>
                <w:lang w:eastAsia="en-US"/>
              </w:rPr>
              <w:t xml:space="preserve">Mean </w:t>
            </w:r>
            <w:r w:rsidR="00740CBD" w:rsidRPr="007C0F61">
              <w:rPr>
                <w:rFonts w:asciiTheme="minorHAnsi" w:eastAsiaTheme="minorHAnsi" w:hAnsiTheme="minorHAnsi" w:cstheme="minorHAnsi"/>
                <w:color w:val="000000"/>
                <w:sz w:val="20"/>
                <w:szCs w:val="20"/>
                <w:lang w:eastAsia="en-US"/>
              </w:rPr>
              <w:t>LTV</w:t>
            </w:r>
            <w:r w:rsidRPr="007C0F61">
              <w:rPr>
                <w:rFonts w:asciiTheme="minorHAnsi" w:eastAsiaTheme="minorHAnsi" w:hAnsiTheme="minorHAnsi" w:cstheme="minorHAnsi"/>
                <w:color w:val="000000"/>
                <w:sz w:val="20"/>
                <w:szCs w:val="20"/>
                <w:lang w:eastAsia="en-US"/>
              </w:rPr>
              <w:t>: 77.03 %</w:t>
            </w:r>
          </w:p>
          <w:p w14:paraId="6BEB23C8" w14:textId="1A898763" w:rsidR="006C704D" w:rsidRPr="007C0F61" w:rsidRDefault="00077414">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DTI and LTV are evaluated at the mean of </w:t>
            </w:r>
            <w:r w:rsidR="009B0AD5">
              <w:rPr>
                <w:rFonts w:asciiTheme="minorHAnsi" w:eastAsiaTheme="minorHAnsi" w:hAnsiTheme="minorHAnsi" w:cstheme="minorHAnsi"/>
                <w:color w:val="000000"/>
                <w:sz w:val="20"/>
                <w:szCs w:val="20"/>
                <w:lang w:eastAsia="en-US"/>
              </w:rPr>
              <w:t xml:space="preserve">the </w:t>
            </w:r>
            <w:r w:rsidRPr="007C0F61">
              <w:rPr>
                <w:rFonts w:asciiTheme="minorHAnsi" w:eastAsiaTheme="minorHAnsi" w:hAnsiTheme="minorHAnsi" w:cstheme="minorHAnsi"/>
                <w:color w:val="000000"/>
                <w:sz w:val="20"/>
                <w:szCs w:val="20"/>
                <w:lang w:eastAsia="en-US"/>
              </w:rPr>
              <w:t>entire valid data set</w:t>
            </w:r>
          </w:p>
        </w:tc>
      </w:tr>
    </w:tbl>
    <w:p w14:paraId="107E68B4" w14:textId="44B4E3B6" w:rsidR="00AB65AB" w:rsidRPr="007C0F61" w:rsidRDefault="00AB65AB">
      <w:pPr>
        <w:rPr>
          <w:rFonts w:asciiTheme="minorHAnsi" w:eastAsiaTheme="minorHAnsi" w:hAnsiTheme="minorHAnsi" w:cstheme="minorHAnsi"/>
          <w:color w:val="000000"/>
          <w:sz w:val="20"/>
          <w:szCs w:val="20"/>
          <w:u w:color="000000"/>
          <w:lang w:eastAsia="en-US"/>
        </w:rPr>
      </w:pPr>
    </w:p>
    <w:p w14:paraId="5D2AE4BB" w14:textId="77777777" w:rsidR="008031D5" w:rsidRDefault="008031D5" w:rsidP="00B75C10">
      <w:pPr>
        <w:pStyle w:val="NoSpacing"/>
        <w:jc w:val="both"/>
        <w:rPr>
          <w:rFonts w:eastAsia="Times New Roman" w:cstheme="minorHAnsi"/>
          <w:sz w:val="20"/>
          <w:szCs w:val="20"/>
          <w:lang w:val="en-GB" w:eastAsia="en-GB"/>
        </w:rPr>
      </w:pPr>
    </w:p>
    <w:p w14:paraId="06DC334A" w14:textId="48115D08" w:rsidR="00C908B3" w:rsidRPr="007C0F61" w:rsidRDefault="00740CBD" w:rsidP="00B75C10">
      <w:pPr>
        <w:pStyle w:val="NoSpacing"/>
        <w:jc w:val="both"/>
        <w:rPr>
          <w:rFonts w:eastAsia="Times New Roman" w:cstheme="minorHAnsi"/>
          <w:sz w:val="20"/>
          <w:szCs w:val="20"/>
          <w:lang w:val="en-GB" w:eastAsia="en-GB"/>
        </w:rPr>
      </w:pPr>
      <w:r w:rsidRPr="007C0F61">
        <w:rPr>
          <w:rFonts w:eastAsia="Times New Roman" w:cstheme="minorHAnsi"/>
          <w:sz w:val="20"/>
          <w:szCs w:val="20"/>
          <w:lang w:val="en-GB" w:eastAsia="en-GB"/>
        </w:rPr>
        <w:t>Table 3 represents the predicted probability of some prototypical individuals across different race</w:t>
      </w:r>
      <w:r w:rsidR="00D03095" w:rsidRPr="007C0F61">
        <w:rPr>
          <w:rFonts w:eastAsia="Times New Roman" w:cstheme="minorHAnsi"/>
          <w:sz w:val="20"/>
          <w:szCs w:val="20"/>
          <w:lang w:val="en-GB" w:eastAsia="en-GB"/>
        </w:rPr>
        <w:t>s</w:t>
      </w:r>
      <w:r w:rsidR="0086272F" w:rsidRPr="007C0F61">
        <w:rPr>
          <w:rFonts w:eastAsia="Times New Roman" w:cstheme="minorHAnsi"/>
          <w:sz w:val="20"/>
          <w:szCs w:val="20"/>
          <w:lang w:val="en-GB" w:eastAsia="en-GB"/>
        </w:rPr>
        <w:t xml:space="preserve"> from Logit model</w:t>
      </w:r>
      <w:r w:rsidRPr="007C0F61">
        <w:rPr>
          <w:rFonts w:eastAsia="Times New Roman" w:cstheme="minorHAnsi"/>
          <w:sz w:val="20"/>
          <w:szCs w:val="20"/>
          <w:lang w:val="en-GB" w:eastAsia="en-GB"/>
        </w:rPr>
        <w:t xml:space="preserve">. </w:t>
      </w:r>
      <w:r w:rsidR="0066692E" w:rsidRPr="007C0F61">
        <w:rPr>
          <w:rFonts w:eastAsia="Times New Roman" w:cstheme="minorHAnsi"/>
          <w:sz w:val="20"/>
          <w:szCs w:val="20"/>
          <w:lang w:val="en-GB" w:eastAsia="en-GB"/>
        </w:rPr>
        <w:t>This table again resonates that Black and Hispanic applicants are less likely to receive loan approval in comparison to their White counterparts.</w:t>
      </w:r>
      <w:r w:rsidR="00360348" w:rsidRPr="007C0F61">
        <w:rPr>
          <w:rFonts w:eastAsia="Times New Roman" w:cstheme="minorHAnsi"/>
          <w:sz w:val="20"/>
          <w:szCs w:val="20"/>
          <w:lang w:val="en-GB" w:eastAsia="en-GB"/>
        </w:rPr>
        <w:t xml:space="preserve"> </w:t>
      </w:r>
      <w:r w:rsidRPr="007C0F61">
        <w:rPr>
          <w:rFonts w:eastAsia="Times New Roman" w:cstheme="minorHAnsi"/>
          <w:sz w:val="20"/>
          <w:szCs w:val="20"/>
          <w:lang w:val="en-GB" w:eastAsia="en-GB"/>
        </w:rPr>
        <w:t xml:space="preserve">We observe that </w:t>
      </w:r>
      <w:r w:rsidR="00D03095" w:rsidRPr="007C0F61">
        <w:rPr>
          <w:rFonts w:eastAsia="Times New Roman" w:cstheme="minorHAnsi"/>
          <w:sz w:val="20"/>
          <w:szCs w:val="20"/>
          <w:lang w:val="en-GB" w:eastAsia="en-GB"/>
        </w:rPr>
        <w:t>White Married applicants who do not meet the credit guidelines</w:t>
      </w:r>
      <w:r w:rsidR="00523B41" w:rsidRPr="007C0F61">
        <w:rPr>
          <w:rFonts w:eastAsia="Times New Roman" w:cstheme="minorHAnsi"/>
          <w:sz w:val="20"/>
          <w:szCs w:val="20"/>
          <w:lang w:val="en-GB" w:eastAsia="en-GB"/>
        </w:rPr>
        <w:t xml:space="preserve"> </w:t>
      </w:r>
      <w:r w:rsidR="00DD35CB" w:rsidRPr="007C0F61">
        <w:rPr>
          <w:rFonts w:eastAsia="Times New Roman" w:cstheme="minorHAnsi"/>
          <w:sz w:val="20"/>
          <w:szCs w:val="20"/>
          <w:lang w:val="en-GB" w:eastAsia="en-GB"/>
        </w:rPr>
        <w:t>(with DTI and LTV</w:t>
      </w:r>
      <w:r w:rsidR="00E4451E" w:rsidRPr="007C0F61">
        <w:rPr>
          <w:rFonts w:eastAsia="Times New Roman" w:cstheme="minorHAnsi"/>
          <w:sz w:val="20"/>
          <w:szCs w:val="20"/>
          <w:lang w:val="en-GB" w:eastAsia="en-GB"/>
        </w:rPr>
        <w:t xml:space="preserve"> evaluated at </w:t>
      </w:r>
      <w:r w:rsidR="00077414" w:rsidRPr="007C0F61">
        <w:rPr>
          <w:rFonts w:eastAsia="Times New Roman" w:cstheme="minorHAnsi"/>
          <w:sz w:val="20"/>
          <w:szCs w:val="20"/>
          <w:lang w:val="en-GB" w:eastAsia="en-GB"/>
        </w:rPr>
        <w:t xml:space="preserve">the </w:t>
      </w:r>
      <w:r w:rsidR="00E4451E" w:rsidRPr="007C0F61">
        <w:rPr>
          <w:rFonts w:eastAsia="Times New Roman" w:cstheme="minorHAnsi"/>
          <w:sz w:val="20"/>
          <w:szCs w:val="20"/>
          <w:lang w:val="en-GB" w:eastAsia="en-GB"/>
        </w:rPr>
        <w:t xml:space="preserve">mean of </w:t>
      </w:r>
      <w:r w:rsidR="00B54B67" w:rsidRPr="007C0F61">
        <w:rPr>
          <w:rFonts w:eastAsia="Times New Roman" w:cstheme="minorHAnsi"/>
          <w:sz w:val="20"/>
          <w:szCs w:val="20"/>
          <w:lang w:val="en-GB" w:eastAsia="en-GB"/>
        </w:rPr>
        <w:t>entire valid</w:t>
      </w:r>
      <w:r w:rsidR="00E4451E" w:rsidRPr="007C0F61">
        <w:rPr>
          <w:rFonts w:eastAsia="Times New Roman" w:cstheme="minorHAnsi"/>
          <w:sz w:val="20"/>
          <w:szCs w:val="20"/>
          <w:lang w:val="en-GB" w:eastAsia="en-GB"/>
        </w:rPr>
        <w:t xml:space="preserve"> data</w:t>
      </w:r>
      <w:r w:rsidR="00B54B67" w:rsidRPr="007C0F61">
        <w:rPr>
          <w:rFonts w:eastAsia="Times New Roman" w:cstheme="minorHAnsi"/>
          <w:sz w:val="20"/>
          <w:szCs w:val="20"/>
          <w:lang w:val="en-GB" w:eastAsia="en-GB"/>
        </w:rPr>
        <w:t xml:space="preserve"> set</w:t>
      </w:r>
      <w:r w:rsidR="00DD35CB" w:rsidRPr="007C0F61">
        <w:rPr>
          <w:rFonts w:eastAsia="Times New Roman" w:cstheme="minorHAnsi"/>
          <w:sz w:val="20"/>
          <w:szCs w:val="20"/>
          <w:lang w:val="en-GB" w:eastAsia="en-GB"/>
        </w:rPr>
        <w:t>)</w:t>
      </w:r>
      <w:r w:rsidR="00D03095" w:rsidRPr="007C0F61">
        <w:rPr>
          <w:rFonts w:eastAsia="Times New Roman" w:cstheme="minorHAnsi"/>
          <w:sz w:val="20"/>
          <w:szCs w:val="20"/>
          <w:lang w:val="en-GB" w:eastAsia="en-GB"/>
        </w:rPr>
        <w:t xml:space="preserve"> have </w:t>
      </w:r>
      <w:r w:rsidR="00DD35CB" w:rsidRPr="007C0F61">
        <w:rPr>
          <w:rFonts w:eastAsia="Times New Roman" w:cstheme="minorHAnsi"/>
          <w:sz w:val="20"/>
          <w:szCs w:val="20"/>
          <w:lang w:val="en-GB" w:eastAsia="en-GB"/>
        </w:rPr>
        <w:t xml:space="preserve">approximately </w:t>
      </w:r>
      <w:proofErr w:type="gramStart"/>
      <w:r w:rsidR="00DD35CB" w:rsidRPr="007C0F61">
        <w:rPr>
          <w:rFonts w:eastAsia="Times New Roman" w:cstheme="minorHAnsi"/>
          <w:sz w:val="20"/>
          <w:szCs w:val="20"/>
          <w:lang w:val="en-GB" w:eastAsia="en-GB"/>
        </w:rPr>
        <w:t>17% point</w:t>
      </w:r>
      <w:proofErr w:type="gramEnd"/>
      <w:r w:rsidR="00DD35CB" w:rsidRPr="007C0F61">
        <w:rPr>
          <w:rFonts w:eastAsia="Times New Roman" w:cstheme="minorHAnsi"/>
          <w:sz w:val="20"/>
          <w:szCs w:val="20"/>
          <w:lang w:val="en-GB" w:eastAsia="en-GB"/>
        </w:rPr>
        <w:t xml:space="preserve"> </w:t>
      </w:r>
      <w:r w:rsidR="00D03095" w:rsidRPr="007C0F61">
        <w:rPr>
          <w:rFonts w:eastAsia="Times New Roman" w:cstheme="minorHAnsi"/>
          <w:sz w:val="20"/>
          <w:szCs w:val="20"/>
          <w:lang w:val="en-GB" w:eastAsia="en-GB"/>
        </w:rPr>
        <w:t>higher proba</w:t>
      </w:r>
      <w:r w:rsidR="00DD35CB" w:rsidRPr="007C0F61">
        <w:rPr>
          <w:rFonts w:eastAsia="Times New Roman" w:cstheme="minorHAnsi"/>
          <w:sz w:val="20"/>
          <w:szCs w:val="20"/>
          <w:lang w:val="en-GB" w:eastAsia="en-GB"/>
        </w:rPr>
        <w:t xml:space="preserve">bility of loan approval than </w:t>
      </w:r>
      <w:r w:rsidR="00734DEF" w:rsidRPr="007C0F61">
        <w:rPr>
          <w:rFonts w:eastAsia="Times New Roman" w:cstheme="minorHAnsi"/>
          <w:sz w:val="20"/>
          <w:szCs w:val="20"/>
          <w:lang w:val="en-GB" w:eastAsia="en-GB"/>
        </w:rPr>
        <w:t xml:space="preserve">similar </w:t>
      </w:r>
      <w:r w:rsidR="00DD35CB" w:rsidRPr="007C0F61">
        <w:rPr>
          <w:rFonts w:eastAsia="Times New Roman" w:cstheme="minorHAnsi"/>
          <w:sz w:val="20"/>
          <w:szCs w:val="20"/>
          <w:lang w:val="en-GB" w:eastAsia="en-GB"/>
        </w:rPr>
        <w:t>Black applicants.</w:t>
      </w:r>
      <w:r w:rsidR="00360348" w:rsidRPr="007C0F61">
        <w:rPr>
          <w:rFonts w:eastAsia="Times New Roman" w:cstheme="minorHAnsi"/>
          <w:sz w:val="20"/>
          <w:szCs w:val="20"/>
          <w:lang w:val="en-GB" w:eastAsia="en-GB"/>
        </w:rPr>
        <w:t xml:space="preserve"> However, the gap is narrow for White Married applicants who meet credit guidelines (with DTI and LTV evaluated at the </w:t>
      </w:r>
      <w:proofErr w:type="gramStart"/>
      <w:r w:rsidR="00360348" w:rsidRPr="007C0F61">
        <w:rPr>
          <w:rFonts w:eastAsia="Times New Roman" w:cstheme="minorHAnsi"/>
          <w:sz w:val="20"/>
          <w:szCs w:val="20"/>
          <w:lang w:val="en-GB" w:eastAsia="en-GB"/>
        </w:rPr>
        <w:t>mean)  i.e.</w:t>
      </w:r>
      <w:proofErr w:type="gramEnd"/>
      <w:r w:rsidR="00360348" w:rsidRPr="007C0F61">
        <w:rPr>
          <w:rFonts w:eastAsia="Times New Roman" w:cstheme="minorHAnsi"/>
          <w:sz w:val="20"/>
          <w:szCs w:val="20"/>
          <w:lang w:val="en-GB" w:eastAsia="en-GB"/>
        </w:rPr>
        <w:t xml:space="preserve"> 6% point in comparison to similar Black applicants.</w:t>
      </w:r>
    </w:p>
    <w:p w14:paraId="49CBD45F" w14:textId="77777777" w:rsidR="00B75C10" w:rsidRPr="007C0F61" w:rsidRDefault="00B75C10" w:rsidP="00B75C10">
      <w:pPr>
        <w:pStyle w:val="NoSpacing"/>
        <w:jc w:val="both"/>
        <w:rPr>
          <w:rFonts w:eastAsia="Times New Roman" w:cstheme="minorHAnsi"/>
          <w:sz w:val="20"/>
          <w:szCs w:val="20"/>
          <w:lang w:val="en-GB" w:eastAsia="en-GB"/>
        </w:rPr>
      </w:pPr>
    </w:p>
    <w:p w14:paraId="54120C49" w14:textId="1A88652B" w:rsidR="004B0741" w:rsidRPr="004B0741" w:rsidRDefault="00FA1163" w:rsidP="004B0741">
      <w:pPr>
        <w:rPr>
          <w:rFonts w:asciiTheme="minorHAnsi" w:eastAsiaTheme="minorHAnsi" w:hAnsiTheme="minorHAnsi" w:cstheme="minorHAnsi"/>
          <w:b/>
          <w:sz w:val="20"/>
          <w:szCs w:val="20"/>
          <w:lang w:eastAsia="en-US"/>
        </w:rPr>
      </w:pPr>
      <w:r w:rsidRPr="007C0F61">
        <w:rPr>
          <w:rFonts w:cstheme="minorHAnsi"/>
          <w:b/>
          <w:sz w:val="20"/>
          <w:szCs w:val="20"/>
        </w:rPr>
        <w:t xml:space="preserve">Probit Model </w:t>
      </w:r>
    </w:p>
    <w:p w14:paraId="73176B00" w14:textId="77777777" w:rsidR="004B0741" w:rsidRDefault="004B0741" w:rsidP="004B0741">
      <w:pPr>
        <w:pStyle w:val="NoSpacing"/>
        <w:jc w:val="both"/>
        <w:rPr>
          <w:rFonts w:cstheme="minorHAnsi"/>
          <w:sz w:val="20"/>
          <w:szCs w:val="20"/>
        </w:rPr>
      </w:pPr>
    </w:p>
    <w:p w14:paraId="5557D8FD" w14:textId="169BD3C2" w:rsidR="004B0741" w:rsidRDefault="00B75C10" w:rsidP="004B0741">
      <w:pPr>
        <w:pStyle w:val="NoSpacing"/>
        <w:jc w:val="both"/>
        <w:rPr>
          <w:rFonts w:cstheme="minorHAnsi"/>
          <w:sz w:val="20"/>
          <w:szCs w:val="20"/>
        </w:rPr>
      </w:pPr>
      <w:r w:rsidRPr="007C0F61">
        <w:rPr>
          <w:rFonts w:cstheme="minorHAnsi"/>
          <w:sz w:val="20"/>
          <w:szCs w:val="20"/>
        </w:rPr>
        <w:t>Table 4</w:t>
      </w:r>
      <w:r w:rsidR="00B44836" w:rsidRPr="007C0F61">
        <w:rPr>
          <w:rFonts w:cstheme="minorHAnsi"/>
          <w:sz w:val="20"/>
          <w:szCs w:val="20"/>
        </w:rPr>
        <w:t xml:space="preserve"> details the estimates from the Probit model. All the coeffic</w:t>
      </w:r>
      <w:r w:rsidR="000E4F8A" w:rsidRPr="007C0F61">
        <w:rPr>
          <w:rFonts w:cstheme="minorHAnsi"/>
          <w:sz w:val="20"/>
          <w:szCs w:val="20"/>
        </w:rPr>
        <w:t xml:space="preserve">ient </w:t>
      </w:r>
      <w:r w:rsidR="004146AA">
        <w:rPr>
          <w:rFonts w:cstheme="minorHAnsi"/>
          <w:sz w:val="20"/>
          <w:szCs w:val="20"/>
        </w:rPr>
        <w:t>estimates in</w:t>
      </w:r>
      <w:r w:rsidR="005A2C89">
        <w:rPr>
          <w:rFonts w:cstheme="minorHAnsi"/>
          <w:sz w:val="20"/>
          <w:szCs w:val="20"/>
        </w:rPr>
        <w:t xml:space="preserve"> this model </w:t>
      </w:r>
      <w:r w:rsidR="000E4F8A" w:rsidRPr="007C0F61">
        <w:rPr>
          <w:rFonts w:cstheme="minorHAnsi"/>
          <w:sz w:val="20"/>
          <w:szCs w:val="20"/>
        </w:rPr>
        <w:t xml:space="preserve">follow same sign </w:t>
      </w:r>
      <w:r w:rsidR="004F7670" w:rsidRPr="007C0F61">
        <w:rPr>
          <w:rFonts w:cstheme="minorHAnsi"/>
          <w:sz w:val="20"/>
          <w:szCs w:val="20"/>
        </w:rPr>
        <w:t>(</w:t>
      </w:r>
      <w:r w:rsidR="000E4F8A" w:rsidRPr="007C0F61">
        <w:rPr>
          <w:rFonts w:cstheme="minorHAnsi"/>
          <w:sz w:val="20"/>
          <w:szCs w:val="20"/>
        </w:rPr>
        <w:t>hence similar relationship direction</w:t>
      </w:r>
      <w:r w:rsidR="004F7670" w:rsidRPr="007C0F61">
        <w:rPr>
          <w:rFonts w:cstheme="minorHAnsi"/>
          <w:sz w:val="20"/>
          <w:szCs w:val="20"/>
        </w:rPr>
        <w:t xml:space="preserve">) and statistical significance as in Logit model estimates apart from DTI. We find that DTI in this model is statistically significant only at 10% level. </w:t>
      </w:r>
      <w:r w:rsidR="004B0741">
        <w:rPr>
          <w:rFonts w:cstheme="minorHAnsi"/>
          <w:sz w:val="20"/>
          <w:szCs w:val="20"/>
        </w:rPr>
        <w:t xml:space="preserve">Since in both of our </w:t>
      </w:r>
      <w:proofErr w:type="gramStart"/>
      <w:r w:rsidR="004B0741">
        <w:rPr>
          <w:rFonts w:cstheme="minorHAnsi"/>
          <w:sz w:val="20"/>
          <w:szCs w:val="20"/>
        </w:rPr>
        <w:t>models</w:t>
      </w:r>
      <w:proofErr w:type="gramEnd"/>
      <w:r w:rsidR="004B0741">
        <w:rPr>
          <w:rFonts w:cstheme="minorHAnsi"/>
          <w:sz w:val="20"/>
          <w:szCs w:val="20"/>
        </w:rPr>
        <w:t xml:space="preserve"> </w:t>
      </w:r>
      <w:r w:rsidR="004B0741" w:rsidRPr="007C0F61">
        <w:rPr>
          <w:rFonts w:cstheme="minorHAnsi"/>
          <w:sz w:val="20"/>
          <w:szCs w:val="20"/>
        </w:rPr>
        <w:t xml:space="preserve">coefficient </w:t>
      </w:r>
      <w:r w:rsidR="004B0741">
        <w:rPr>
          <w:rFonts w:cstheme="minorHAnsi"/>
          <w:sz w:val="20"/>
          <w:szCs w:val="20"/>
        </w:rPr>
        <w:t>estimates have same sign and these relationship directions make sense in the real world, we conclude that our estimates from both models are robust.</w:t>
      </w:r>
    </w:p>
    <w:p w14:paraId="2F52DEE8" w14:textId="193E270D" w:rsidR="004B0741" w:rsidRDefault="004B0741" w:rsidP="004B0741">
      <w:pPr>
        <w:pStyle w:val="NoSpacing"/>
        <w:jc w:val="both"/>
        <w:rPr>
          <w:rFonts w:cstheme="minorHAnsi"/>
          <w:sz w:val="20"/>
          <w:szCs w:val="20"/>
        </w:rPr>
      </w:pPr>
    </w:p>
    <w:p w14:paraId="006CDD1E" w14:textId="6B6B6EA2" w:rsidR="004B0741" w:rsidRDefault="004B0741" w:rsidP="004B0741">
      <w:pPr>
        <w:pStyle w:val="NoSpacing"/>
        <w:jc w:val="both"/>
        <w:rPr>
          <w:rFonts w:cstheme="minorHAnsi"/>
          <w:sz w:val="20"/>
          <w:szCs w:val="20"/>
        </w:rPr>
      </w:pPr>
    </w:p>
    <w:p w14:paraId="13803989" w14:textId="392C0560" w:rsidR="004B0741" w:rsidRDefault="004B0741" w:rsidP="004B0741">
      <w:pPr>
        <w:pStyle w:val="NoSpacing"/>
        <w:jc w:val="both"/>
        <w:rPr>
          <w:rFonts w:cstheme="minorHAnsi"/>
          <w:sz w:val="20"/>
          <w:szCs w:val="20"/>
        </w:rPr>
      </w:pPr>
    </w:p>
    <w:p w14:paraId="68D70E16" w14:textId="1D445682" w:rsidR="004B0741" w:rsidRDefault="004B0741" w:rsidP="004B0741">
      <w:pPr>
        <w:pStyle w:val="NoSpacing"/>
        <w:jc w:val="both"/>
        <w:rPr>
          <w:rFonts w:cstheme="minorHAnsi"/>
          <w:sz w:val="20"/>
          <w:szCs w:val="20"/>
        </w:rPr>
      </w:pPr>
    </w:p>
    <w:p w14:paraId="61B77E02" w14:textId="576A0930" w:rsidR="004B0741" w:rsidRDefault="004B0741" w:rsidP="004B0741">
      <w:pPr>
        <w:pStyle w:val="NoSpacing"/>
        <w:jc w:val="both"/>
        <w:rPr>
          <w:rFonts w:cstheme="minorHAnsi"/>
          <w:sz w:val="20"/>
          <w:szCs w:val="20"/>
        </w:rPr>
      </w:pPr>
    </w:p>
    <w:p w14:paraId="19EF56F3" w14:textId="0DE759F5" w:rsidR="004B0741" w:rsidRDefault="004B0741" w:rsidP="004B0741">
      <w:pPr>
        <w:pStyle w:val="NoSpacing"/>
        <w:jc w:val="both"/>
        <w:rPr>
          <w:rFonts w:cstheme="minorHAnsi"/>
          <w:sz w:val="20"/>
          <w:szCs w:val="20"/>
        </w:rPr>
      </w:pPr>
    </w:p>
    <w:p w14:paraId="7F72CFE3" w14:textId="729E2708" w:rsidR="004B0741" w:rsidRDefault="004B0741" w:rsidP="004B0741">
      <w:pPr>
        <w:pStyle w:val="NoSpacing"/>
        <w:jc w:val="both"/>
        <w:rPr>
          <w:rFonts w:cstheme="minorHAnsi"/>
          <w:sz w:val="20"/>
          <w:szCs w:val="20"/>
        </w:rPr>
      </w:pPr>
    </w:p>
    <w:p w14:paraId="384C4994" w14:textId="61AF8D5A" w:rsidR="004B0741" w:rsidRDefault="004B0741" w:rsidP="004B0741">
      <w:pPr>
        <w:pStyle w:val="NoSpacing"/>
        <w:jc w:val="both"/>
        <w:rPr>
          <w:rFonts w:cstheme="minorHAnsi"/>
          <w:sz w:val="20"/>
          <w:szCs w:val="20"/>
        </w:rPr>
      </w:pPr>
    </w:p>
    <w:p w14:paraId="26CEA6B0" w14:textId="60DD847A" w:rsidR="004B0741" w:rsidRDefault="004B0741" w:rsidP="004B0741">
      <w:pPr>
        <w:pStyle w:val="NoSpacing"/>
        <w:jc w:val="both"/>
        <w:rPr>
          <w:rFonts w:cstheme="minorHAnsi"/>
          <w:sz w:val="20"/>
          <w:szCs w:val="20"/>
        </w:rPr>
      </w:pPr>
    </w:p>
    <w:p w14:paraId="2D3034A8" w14:textId="2D60DFEF" w:rsidR="004B0741" w:rsidRDefault="004B0741" w:rsidP="004B0741">
      <w:pPr>
        <w:pStyle w:val="NoSpacing"/>
        <w:jc w:val="both"/>
        <w:rPr>
          <w:rFonts w:cstheme="minorHAnsi"/>
          <w:sz w:val="20"/>
          <w:szCs w:val="20"/>
        </w:rPr>
      </w:pPr>
    </w:p>
    <w:p w14:paraId="787B9190" w14:textId="378C34ED" w:rsidR="004B0741" w:rsidRDefault="004B0741" w:rsidP="004B0741">
      <w:pPr>
        <w:pStyle w:val="NoSpacing"/>
        <w:jc w:val="both"/>
        <w:rPr>
          <w:rFonts w:cstheme="minorHAnsi"/>
          <w:sz w:val="20"/>
          <w:szCs w:val="20"/>
        </w:rPr>
      </w:pPr>
    </w:p>
    <w:p w14:paraId="18D74C6E" w14:textId="77777777" w:rsidR="004B0741" w:rsidRPr="004B0741" w:rsidRDefault="004B0741" w:rsidP="004B0741">
      <w:pPr>
        <w:pStyle w:val="NoSpacing"/>
        <w:jc w:val="both"/>
        <w:rPr>
          <w:rFonts w:cstheme="minorHAnsi"/>
          <w:b/>
          <w:sz w:val="20"/>
          <w:szCs w:val="20"/>
        </w:rPr>
      </w:pPr>
    </w:p>
    <w:tbl>
      <w:tblPr>
        <w:tblW w:w="6227" w:type="dxa"/>
        <w:jc w:val="center"/>
        <w:tblBorders>
          <w:top w:val="nil"/>
          <w:left w:val="nil"/>
          <w:right w:val="nil"/>
        </w:tblBorders>
        <w:tblLayout w:type="fixed"/>
        <w:tblLook w:val="0000" w:firstRow="0" w:lastRow="0" w:firstColumn="0" w:lastColumn="0" w:noHBand="0" w:noVBand="0"/>
      </w:tblPr>
      <w:tblGrid>
        <w:gridCol w:w="3321"/>
        <w:gridCol w:w="2906"/>
      </w:tblGrid>
      <w:tr w:rsidR="00AB65AB" w:rsidRPr="007C0F61" w14:paraId="67818200" w14:textId="77777777" w:rsidTr="00AB65AB">
        <w:trPr>
          <w:jc w:val="center"/>
        </w:trPr>
        <w:tc>
          <w:tcPr>
            <w:tcW w:w="6227" w:type="dxa"/>
            <w:gridSpan w:val="2"/>
            <w:tcBorders>
              <w:top w:val="single" w:sz="8" w:space="0" w:color="000000"/>
              <w:left w:val="single" w:sz="8" w:space="0" w:color="000000"/>
              <w:bottom w:val="single" w:sz="16" w:space="0" w:color="000000"/>
              <w:right w:val="single" w:sz="8" w:space="0" w:color="000000"/>
            </w:tcBorders>
            <w:tcMar>
              <w:top w:w="20" w:type="nil"/>
              <w:left w:w="20" w:type="nil"/>
              <w:right w:w="20" w:type="nil"/>
            </w:tcMar>
            <w:vAlign w:val="bottom"/>
          </w:tcPr>
          <w:p w14:paraId="5EF7EA96" w14:textId="718F4B86" w:rsidR="00AB65AB" w:rsidRPr="007C0F61" w:rsidRDefault="00AB65AB">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lastRenderedPageBreak/>
              <w:t>Table</w:t>
            </w:r>
            <w:r w:rsidR="005B6134" w:rsidRPr="007C0F61">
              <w:rPr>
                <w:rFonts w:asciiTheme="minorHAnsi" w:eastAsiaTheme="minorHAnsi" w:hAnsiTheme="minorHAnsi" w:cstheme="minorHAnsi"/>
                <w:b/>
                <w:bCs/>
                <w:color w:val="000000"/>
                <w:sz w:val="20"/>
                <w:szCs w:val="20"/>
                <w:lang w:eastAsia="en-US"/>
              </w:rPr>
              <w:t xml:space="preserve"> 4</w:t>
            </w:r>
            <w:r w:rsidRPr="007C0F61">
              <w:rPr>
                <w:rFonts w:asciiTheme="minorHAnsi" w:eastAsiaTheme="minorHAnsi" w:hAnsiTheme="minorHAnsi" w:cstheme="minorHAnsi"/>
                <w:b/>
                <w:bCs/>
                <w:color w:val="000000"/>
                <w:sz w:val="20"/>
                <w:szCs w:val="20"/>
                <w:lang w:eastAsia="en-US"/>
              </w:rPr>
              <w:t>: Estimated Probit Model</w:t>
            </w:r>
          </w:p>
        </w:tc>
      </w:tr>
      <w:tr w:rsidR="00AB65AB" w:rsidRPr="007C0F61" w14:paraId="384AC591" w14:textId="77777777" w:rsidTr="00AB65AB">
        <w:tblPrEx>
          <w:tblBorders>
            <w:top w:val="none" w:sz="0" w:space="0" w:color="auto"/>
          </w:tblBorders>
        </w:tblPrEx>
        <w:trPr>
          <w:jc w:val="center"/>
        </w:trPr>
        <w:tc>
          <w:tcPr>
            <w:tcW w:w="3321" w:type="dxa"/>
            <w:vMerge w:val="restart"/>
            <w:tcBorders>
              <w:left w:val="single" w:sz="8" w:space="0" w:color="000000"/>
              <w:bottom w:val="single" w:sz="8" w:space="0" w:color="000000"/>
            </w:tcBorders>
            <w:tcMar>
              <w:top w:w="20" w:type="nil"/>
              <w:left w:w="20" w:type="nil"/>
              <w:right w:w="20" w:type="nil"/>
            </w:tcMar>
            <w:vAlign w:val="center"/>
          </w:tcPr>
          <w:p w14:paraId="6E652CA3"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bottom w:val="single" w:sz="8" w:space="0" w:color="000000"/>
              <w:right w:val="single" w:sz="8" w:space="0" w:color="000000"/>
            </w:tcBorders>
            <w:tcMar>
              <w:top w:w="20" w:type="nil"/>
              <w:left w:w="20" w:type="nil"/>
              <w:right w:w="20" w:type="nil"/>
            </w:tcMar>
            <w:vAlign w:val="bottom"/>
          </w:tcPr>
          <w:p w14:paraId="3A6E65F9"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Dependent Variable: Approve</w:t>
            </w:r>
          </w:p>
        </w:tc>
      </w:tr>
      <w:tr w:rsidR="00AB65AB" w:rsidRPr="007C0F61" w14:paraId="7E280947" w14:textId="77777777" w:rsidTr="00AB65AB">
        <w:tblPrEx>
          <w:tblBorders>
            <w:top w:val="none" w:sz="0" w:space="0" w:color="auto"/>
          </w:tblBorders>
        </w:tblPrEx>
        <w:trPr>
          <w:jc w:val="center"/>
        </w:trPr>
        <w:tc>
          <w:tcPr>
            <w:tcW w:w="3321" w:type="dxa"/>
            <w:vMerge/>
            <w:tcBorders>
              <w:left w:val="single" w:sz="8" w:space="0" w:color="000000"/>
              <w:bottom w:val="single" w:sz="8" w:space="0" w:color="000000"/>
            </w:tcBorders>
            <w:tcMar>
              <w:top w:w="20" w:type="nil"/>
              <w:left w:w="20" w:type="nil"/>
              <w:right w:w="20" w:type="nil"/>
            </w:tcMar>
            <w:vAlign w:val="center"/>
          </w:tcPr>
          <w:p w14:paraId="278A29CA" w14:textId="77777777" w:rsidR="00AB65AB" w:rsidRPr="007C0F61" w:rsidRDefault="00AB65AB">
            <w:pPr>
              <w:autoSpaceDE w:val="0"/>
              <w:autoSpaceDN w:val="0"/>
              <w:adjustRightInd w:val="0"/>
              <w:rPr>
                <w:rFonts w:asciiTheme="minorHAnsi" w:eastAsiaTheme="minorHAnsi" w:hAnsiTheme="minorHAnsi" w:cstheme="minorHAnsi"/>
                <w:color w:val="000000"/>
                <w:sz w:val="20"/>
                <w:szCs w:val="20"/>
                <w:lang w:eastAsia="en-US"/>
              </w:rPr>
            </w:pPr>
          </w:p>
        </w:tc>
        <w:tc>
          <w:tcPr>
            <w:tcW w:w="2906" w:type="dxa"/>
            <w:tcBorders>
              <w:bottom w:val="single" w:sz="8" w:space="0" w:color="000000"/>
              <w:right w:val="single" w:sz="8" w:space="0" w:color="000000"/>
            </w:tcBorders>
            <w:tcMar>
              <w:top w:w="20" w:type="nil"/>
              <w:left w:w="20" w:type="nil"/>
              <w:right w:w="20" w:type="nil"/>
            </w:tcMar>
            <w:vAlign w:val="bottom"/>
          </w:tcPr>
          <w:p w14:paraId="7A71E340"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Estimated Co-efficient</w:t>
            </w:r>
          </w:p>
        </w:tc>
      </w:tr>
      <w:tr w:rsidR="00AB65AB" w:rsidRPr="007C0F61" w14:paraId="6ADA3986"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60F8F2E2"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(Intercept)</w:t>
            </w:r>
          </w:p>
        </w:tc>
        <w:tc>
          <w:tcPr>
            <w:tcW w:w="2906" w:type="dxa"/>
            <w:tcBorders>
              <w:right w:val="single" w:sz="8" w:space="0" w:color="000000"/>
            </w:tcBorders>
            <w:tcMar>
              <w:top w:w="20" w:type="nil"/>
              <w:left w:w="20" w:type="nil"/>
              <w:right w:w="20" w:type="nil"/>
            </w:tcMar>
            <w:vAlign w:val="bottom"/>
          </w:tcPr>
          <w:p w14:paraId="498ABF50"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0.3005</w:t>
            </w:r>
          </w:p>
        </w:tc>
      </w:tr>
      <w:tr w:rsidR="00AB65AB" w:rsidRPr="007C0F61" w14:paraId="669723F7"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50DDC53C"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right w:val="single" w:sz="8" w:space="0" w:color="000000"/>
            </w:tcBorders>
            <w:tcMar>
              <w:top w:w="20" w:type="nil"/>
              <w:left w:w="20" w:type="nil"/>
              <w:right w:w="20" w:type="nil"/>
            </w:tcMar>
            <w:vAlign w:val="bottom"/>
          </w:tcPr>
          <w:p w14:paraId="66E47CDD"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(0.3533)</w:t>
            </w:r>
          </w:p>
        </w:tc>
      </w:tr>
      <w:tr w:rsidR="00AB65AB" w:rsidRPr="007C0F61" w14:paraId="326A7667"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4F4BBA55"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Other Obligations(DTI)</w:t>
            </w:r>
          </w:p>
        </w:tc>
        <w:tc>
          <w:tcPr>
            <w:tcW w:w="2906" w:type="dxa"/>
            <w:tcBorders>
              <w:right w:val="single" w:sz="8" w:space="0" w:color="000000"/>
            </w:tcBorders>
            <w:tcMar>
              <w:top w:w="20" w:type="nil"/>
              <w:left w:w="20" w:type="nil"/>
              <w:right w:w="20" w:type="nil"/>
            </w:tcMar>
            <w:vAlign w:val="bottom"/>
          </w:tcPr>
          <w:p w14:paraId="27383588"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-0.0126.</w:t>
            </w:r>
          </w:p>
        </w:tc>
      </w:tr>
      <w:tr w:rsidR="00AB65AB" w:rsidRPr="007C0F61" w14:paraId="5DFF7103"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394D18A6"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right w:val="single" w:sz="8" w:space="0" w:color="000000"/>
            </w:tcBorders>
            <w:tcMar>
              <w:top w:w="20" w:type="nil"/>
              <w:left w:w="20" w:type="nil"/>
              <w:right w:w="20" w:type="nil"/>
            </w:tcMar>
            <w:vAlign w:val="bottom"/>
          </w:tcPr>
          <w:p w14:paraId="5DB759DE"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(0.0067)</w:t>
            </w:r>
          </w:p>
        </w:tc>
      </w:tr>
      <w:tr w:rsidR="00AB65AB" w:rsidRPr="007C0F61" w14:paraId="5D94CE59"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2B9F785A"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Loan to Value(LTV)</w:t>
            </w:r>
          </w:p>
        </w:tc>
        <w:tc>
          <w:tcPr>
            <w:tcW w:w="2906" w:type="dxa"/>
            <w:tcBorders>
              <w:right w:val="single" w:sz="8" w:space="0" w:color="000000"/>
            </w:tcBorders>
            <w:tcMar>
              <w:top w:w="20" w:type="nil"/>
              <w:left w:w="20" w:type="nil"/>
              <w:right w:w="20" w:type="nil"/>
            </w:tcMar>
            <w:vAlign w:val="bottom"/>
          </w:tcPr>
          <w:p w14:paraId="1FD8DCA1"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-0.0077*</w:t>
            </w:r>
          </w:p>
        </w:tc>
      </w:tr>
      <w:tr w:rsidR="00AB65AB" w:rsidRPr="007C0F61" w14:paraId="25DF1A5C"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30BD1F93"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right w:val="single" w:sz="8" w:space="0" w:color="000000"/>
            </w:tcBorders>
            <w:tcMar>
              <w:top w:w="20" w:type="nil"/>
              <w:left w:w="20" w:type="nil"/>
              <w:right w:w="20" w:type="nil"/>
            </w:tcMar>
            <w:vAlign w:val="bottom"/>
          </w:tcPr>
          <w:p w14:paraId="62710BD0"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(0.0033)</w:t>
            </w:r>
          </w:p>
        </w:tc>
      </w:tr>
      <w:tr w:rsidR="00AB65AB" w:rsidRPr="007C0F61" w14:paraId="0A35952D"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7B02EF32"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w:t>
            </w:r>
          </w:p>
        </w:tc>
        <w:tc>
          <w:tcPr>
            <w:tcW w:w="2906" w:type="dxa"/>
            <w:tcBorders>
              <w:right w:val="single" w:sz="8" w:space="0" w:color="000000"/>
            </w:tcBorders>
            <w:tcMar>
              <w:top w:w="20" w:type="nil"/>
              <w:left w:w="20" w:type="nil"/>
              <w:right w:w="20" w:type="nil"/>
            </w:tcMar>
            <w:vAlign w:val="bottom"/>
          </w:tcPr>
          <w:p w14:paraId="3A9F3EB6"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0.2400*</w:t>
            </w:r>
          </w:p>
        </w:tc>
      </w:tr>
      <w:tr w:rsidR="00AB65AB" w:rsidRPr="007C0F61" w14:paraId="5509B3F7"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44A896A5"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right w:val="single" w:sz="8" w:space="0" w:color="000000"/>
            </w:tcBorders>
            <w:tcMar>
              <w:top w:w="20" w:type="nil"/>
              <w:left w:w="20" w:type="nil"/>
              <w:right w:w="20" w:type="nil"/>
            </w:tcMar>
            <w:vAlign w:val="bottom"/>
          </w:tcPr>
          <w:p w14:paraId="12A813BB"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(0.0936)</w:t>
            </w:r>
          </w:p>
        </w:tc>
      </w:tr>
      <w:tr w:rsidR="00AB65AB" w:rsidRPr="007C0F61" w14:paraId="04082ABA"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7049EC0F"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Credit Guidelines</w:t>
            </w:r>
          </w:p>
        </w:tc>
        <w:tc>
          <w:tcPr>
            <w:tcW w:w="2906" w:type="dxa"/>
            <w:tcBorders>
              <w:right w:val="single" w:sz="8" w:space="0" w:color="000000"/>
            </w:tcBorders>
            <w:tcMar>
              <w:top w:w="20" w:type="nil"/>
              <w:left w:w="20" w:type="nil"/>
              <w:right w:w="20" w:type="nil"/>
            </w:tcMar>
            <w:vAlign w:val="bottom"/>
          </w:tcPr>
          <w:p w14:paraId="5EF1F9C7"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2.2202***</w:t>
            </w:r>
          </w:p>
        </w:tc>
      </w:tr>
      <w:tr w:rsidR="00AB65AB" w:rsidRPr="007C0F61" w14:paraId="51668B38"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485BD678"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right w:val="single" w:sz="8" w:space="0" w:color="000000"/>
            </w:tcBorders>
            <w:tcMar>
              <w:top w:w="20" w:type="nil"/>
              <w:left w:w="20" w:type="nil"/>
              <w:right w:w="20" w:type="nil"/>
            </w:tcMar>
            <w:vAlign w:val="bottom"/>
          </w:tcPr>
          <w:p w14:paraId="063F9C94"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(0.1269)</w:t>
            </w:r>
          </w:p>
        </w:tc>
      </w:tr>
      <w:tr w:rsidR="00AB65AB" w:rsidRPr="007C0F61" w14:paraId="0493F857"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65F7B8AF"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Black</w:t>
            </w:r>
          </w:p>
        </w:tc>
        <w:tc>
          <w:tcPr>
            <w:tcW w:w="2906" w:type="dxa"/>
            <w:tcBorders>
              <w:right w:val="single" w:sz="8" w:space="0" w:color="000000"/>
            </w:tcBorders>
            <w:tcMar>
              <w:top w:w="20" w:type="nil"/>
              <w:left w:w="20" w:type="nil"/>
              <w:right w:w="20" w:type="nil"/>
            </w:tcMar>
            <w:vAlign w:val="bottom"/>
          </w:tcPr>
          <w:p w14:paraId="6B750D81"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-0.4646***</w:t>
            </w:r>
          </w:p>
        </w:tc>
      </w:tr>
      <w:tr w:rsidR="00AB65AB" w:rsidRPr="007C0F61" w14:paraId="2DE55906"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3BAAD96D"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right w:val="single" w:sz="8" w:space="0" w:color="000000"/>
            </w:tcBorders>
            <w:tcMar>
              <w:top w:w="20" w:type="nil"/>
              <w:left w:w="20" w:type="nil"/>
              <w:right w:w="20" w:type="nil"/>
            </w:tcMar>
            <w:vAlign w:val="bottom"/>
          </w:tcPr>
          <w:p w14:paraId="246410CD"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(0.1308)</w:t>
            </w:r>
          </w:p>
        </w:tc>
      </w:tr>
      <w:tr w:rsidR="00AB65AB" w:rsidRPr="007C0F61" w14:paraId="1F6FCE06"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center"/>
          </w:tcPr>
          <w:p w14:paraId="5294F8C5"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Hispanic</w:t>
            </w:r>
          </w:p>
        </w:tc>
        <w:tc>
          <w:tcPr>
            <w:tcW w:w="2906" w:type="dxa"/>
            <w:tcBorders>
              <w:right w:val="single" w:sz="8" w:space="0" w:color="000000"/>
            </w:tcBorders>
            <w:tcMar>
              <w:top w:w="20" w:type="nil"/>
              <w:left w:w="20" w:type="nil"/>
              <w:right w:w="20" w:type="nil"/>
            </w:tcMar>
            <w:vAlign w:val="bottom"/>
          </w:tcPr>
          <w:p w14:paraId="3818833F"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-0.3771*</w:t>
            </w:r>
          </w:p>
        </w:tc>
      </w:tr>
      <w:tr w:rsidR="00AB65AB" w:rsidRPr="007C0F61" w14:paraId="3C9D8EE8" w14:textId="77777777" w:rsidTr="00AB65AB">
        <w:tblPrEx>
          <w:tblBorders>
            <w:top w:val="none" w:sz="0" w:space="0" w:color="auto"/>
          </w:tblBorders>
        </w:tblPrEx>
        <w:trPr>
          <w:jc w:val="center"/>
        </w:trPr>
        <w:tc>
          <w:tcPr>
            <w:tcW w:w="3321" w:type="dxa"/>
            <w:tcBorders>
              <w:left w:val="single" w:sz="8" w:space="0" w:color="000000"/>
              <w:bottom w:val="single" w:sz="8" w:space="0" w:color="000000"/>
            </w:tcBorders>
            <w:tcMar>
              <w:top w:w="20" w:type="nil"/>
              <w:left w:w="20" w:type="nil"/>
              <w:right w:w="20" w:type="nil"/>
            </w:tcMar>
            <w:vAlign w:val="bottom"/>
          </w:tcPr>
          <w:p w14:paraId="1F3F7042"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906" w:type="dxa"/>
            <w:tcBorders>
              <w:bottom w:val="single" w:sz="8" w:space="0" w:color="000000"/>
              <w:right w:val="single" w:sz="8" w:space="0" w:color="000000"/>
            </w:tcBorders>
            <w:tcMar>
              <w:top w:w="20" w:type="nil"/>
              <w:left w:w="20" w:type="nil"/>
              <w:right w:w="20" w:type="nil"/>
            </w:tcMar>
            <w:vAlign w:val="bottom"/>
          </w:tcPr>
          <w:p w14:paraId="5FC250AB"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(0.1744)</w:t>
            </w:r>
          </w:p>
        </w:tc>
      </w:tr>
      <w:tr w:rsidR="00AB65AB" w:rsidRPr="007C0F61" w14:paraId="3077CACA" w14:textId="77777777" w:rsidTr="00AB65AB">
        <w:tblPrEx>
          <w:tblBorders>
            <w:top w:val="none" w:sz="0" w:space="0" w:color="auto"/>
          </w:tblBorders>
        </w:tblPrEx>
        <w:trPr>
          <w:jc w:val="center"/>
        </w:trPr>
        <w:tc>
          <w:tcPr>
            <w:tcW w:w="3321" w:type="dxa"/>
            <w:tcBorders>
              <w:left w:val="single" w:sz="8" w:space="0" w:color="000000"/>
              <w:bottom w:val="single" w:sz="8" w:space="0" w:color="000000"/>
            </w:tcBorders>
            <w:tcMar>
              <w:top w:w="20" w:type="nil"/>
              <w:left w:w="20" w:type="nil"/>
              <w:right w:w="20" w:type="nil"/>
            </w:tcMar>
            <w:vAlign w:val="bottom"/>
          </w:tcPr>
          <w:p w14:paraId="03802B82"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No. of Observations</w:t>
            </w:r>
          </w:p>
        </w:tc>
        <w:tc>
          <w:tcPr>
            <w:tcW w:w="2906" w:type="dxa"/>
            <w:tcBorders>
              <w:bottom w:val="single" w:sz="8" w:space="0" w:color="000000"/>
              <w:right w:val="single" w:sz="8" w:space="0" w:color="000000"/>
            </w:tcBorders>
            <w:tcMar>
              <w:top w:w="20" w:type="nil"/>
              <w:left w:w="20" w:type="nil"/>
              <w:right w:w="20" w:type="nil"/>
            </w:tcMar>
            <w:vAlign w:val="bottom"/>
          </w:tcPr>
          <w:p w14:paraId="6711C9CE"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1916</w:t>
            </w:r>
          </w:p>
        </w:tc>
      </w:tr>
      <w:tr w:rsidR="00AB65AB" w:rsidRPr="007C0F61" w14:paraId="0774EB78" w14:textId="77777777" w:rsidTr="00AB65AB">
        <w:tblPrEx>
          <w:tblBorders>
            <w:top w:val="none" w:sz="0" w:space="0" w:color="auto"/>
          </w:tblBorders>
        </w:tblPrEx>
        <w:trPr>
          <w:jc w:val="center"/>
        </w:trPr>
        <w:tc>
          <w:tcPr>
            <w:tcW w:w="3321" w:type="dxa"/>
            <w:tcBorders>
              <w:left w:val="single" w:sz="8" w:space="0" w:color="000000"/>
            </w:tcBorders>
            <w:tcMar>
              <w:top w:w="20" w:type="nil"/>
              <w:left w:w="20" w:type="nil"/>
              <w:right w:w="20" w:type="nil"/>
            </w:tcMar>
            <w:vAlign w:val="bottom"/>
          </w:tcPr>
          <w:p w14:paraId="7EAB70E2" w14:textId="77777777" w:rsidR="00AB65AB" w:rsidRPr="007C0F61" w:rsidRDefault="00AB65AB">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Log-Likelihood</w:t>
            </w:r>
          </w:p>
        </w:tc>
        <w:tc>
          <w:tcPr>
            <w:tcW w:w="2906" w:type="dxa"/>
            <w:tcBorders>
              <w:right w:val="single" w:sz="8" w:space="0" w:color="000000"/>
            </w:tcBorders>
            <w:tcMar>
              <w:top w:w="20" w:type="nil"/>
              <w:left w:w="20" w:type="nil"/>
              <w:right w:w="20" w:type="nil"/>
            </w:tcMar>
            <w:vAlign w:val="bottom"/>
          </w:tcPr>
          <w:p w14:paraId="12169593" w14:textId="77777777" w:rsidR="00AB65AB" w:rsidRPr="007C0F61" w:rsidRDefault="00AB65AB">
            <w:pPr>
              <w:autoSpaceDE w:val="0"/>
              <w:autoSpaceDN w:val="0"/>
              <w:adjustRightInd w:val="0"/>
              <w:spacing w:line="300" w:lineRule="atLeast"/>
              <w:jc w:val="center"/>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-443.148</w:t>
            </w:r>
          </w:p>
        </w:tc>
      </w:tr>
      <w:tr w:rsidR="00AB65AB" w:rsidRPr="007C0F61" w14:paraId="22825525" w14:textId="77777777" w:rsidTr="004B0741">
        <w:trPr>
          <w:trHeight w:val="542"/>
          <w:jc w:val="center"/>
        </w:trPr>
        <w:tc>
          <w:tcPr>
            <w:tcW w:w="6227" w:type="dxa"/>
            <w:gridSpan w:val="2"/>
            <w:tcBorders>
              <w:top w:val="single" w:sz="8" w:space="0" w:color="000000"/>
              <w:left w:val="single" w:sz="8" w:space="0" w:color="000000"/>
              <w:bottom w:val="single" w:sz="8" w:space="0" w:color="000000"/>
              <w:right w:val="single" w:sz="8" w:space="0" w:color="000000"/>
            </w:tcBorders>
            <w:tcMar>
              <w:top w:w="20" w:type="nil"/>
              <w:left w:w="20" w:type="nil"/>
              <w:right w:w="20" w:type="nil"/>
            </w:tcMar>
          </w:tcPr>
          <w:p w14:paraId="18E585C3" w14:textId="77777777" w:rsidR="00AB65AB" w:rsidRPr="007C0F61" w:rsidRDefault="00AB65AB">
            <w:pPr>
              <w:autoSpaceDE w:val="0"/>
              <w:autoSpaceDN w:val="0"/>
              <w:adjustRightInd w:val="0"/>
              <w:spacing w:line="300" w:lineRule="atLeast"/>
              <w:rPr>
                <w:rFonts w:asciiTheme="minorHAnsi" w:eastAsiaTheme="minorHAnsi" w:hAnsiTheme="minorHAnsi" w:cstheme="minorHAnsi"/>
                <w:i/>
                <w:iCs/>
                <w:color w:val="000000"/>
                <w:sz w:val="20"/>
                <w:szCs w:val="20"/>
                <w:u w:color="000000"/>
                <w:lang w:eastAsia="en-US"/>
              </w:rPr>
            </w:pPr>
            <w:r w:rsidRPr="007C0F61">
              <w:rPr>
                <w:rFonts w:asciiTheme="minorHAnsi" w:eastAsiaTheme="minorHAnsi" w:hAnsiTheme="minorHAnsi" w:cstheme="minorHAnsi"/>
                <w:i/>
                <w:iCs/>
                <w:color w:val="000000"/>
                <w:sz w:val="20"/>
                <w:szCs w:val="20"/>
                <w:u w:val="single" w:color="000000"/>
                <w:lang w:eastAsia="en-US"/>
              </w:rPr>
              <w:t>Notes:</w:t>
            </w:r>
            <w:r w:rsidRPr="007C0F61">
              <w:rPr>
                <w:rFonts w:asciiTheme="minorHAnsi" w:eastAsiaTheme="minorHAnsi" w:hAnsiTheme="minorHAnsi" w:cstheme="minorHAnsi"/>
                <w:i/>
                <w:iCs/>
                <w:color w:val="000000"/>
                <w:sz w:val="20"/>
                <w:szCs w:val="20"/>
                <w:u w:color="000000"/>
                <w:lang w:eastAsia="en-US"/>
              </w:rPr>
              <w:t>  Standard Errors are in parenthesis.                                    </w:t>
            </w:r>
          </w:p>
          <w:p w14:paraId="2B79FD83" w14:textId="38494CD4" w:rsidR="00AB65AB" w:rsidRPr="007C0F61" w:rsidRDefault="00AB65AB">
            <w:pPr>
              <w:autoSpaceDE w:val="0"/>
              <w:autoSpaceDN w:val="0"/>
              <w:adjustRightInd w:val="0"/>
              <w:spacing w:line="300" w:lineRule="atLeast"/>
              <w:rPr>
                <w:rFonts w:asciiTheme="minorHAnsi" w:eastAsiaTheme="minorHAnsi" w:hAnsiTheme="minorHAnsi" w:cstheme="minorHAnsi"/>
                <w:i/>
                <w:iCs/>
                <w:color w:val="000000"/>
                <w:sz w:val="20"/>
                <w:szCs w:val="20"/>
                <w:u w:color="000000"/>
                <w:lang w:eastAsia="en-US"/>
              </w:rPr>
            </w:pPr>
            <w:r w:rsidRPr="007C0F61">
              <w:rPr>
                <w:rFonts w:asciiTheme="minorHAnsi" w:eastAsiaTheme="minorHAnsi" w:hAnsiTheme="minorHAnsi" w:cstheme="minorHAnsi"/>
                <w:i/>
                <w:iCs/>
                <w:color w:val="000000"/>
                <w:sz w:val="20"/>
                <w:szCs w:val="20"/>
                <w:u w:color="000000"/>
                <w:lang w:eastAsia="en-US"/>
              </w:rPr>
              <w:t>*** significant at 0.1%, * significant at 5%</w:t>
            </w:r>
            <w:proofErr w:type="gramStart"/>
            <w:r w:rsidRPr="007C0F61">
              <w:rPr>
                <w:rFonts w:asciiTheme="minorHAnsi" w:eastAsiaTheme="minorHAnsi" w:hAnsiTheme="minorHAnsi" w:cstheme="minorHAnsi"/>
                <w:i/>
                <w:iCs/>
                <w:color w:val="000000"/>
                <w:sz w:val="20"/>
                <w:szCs w:val="20"/>
                <w:u w:color="000000"/>
                <w:lang w:eastAsia="en-US"/>
              </w:rPr>
              <w:t>, .</w:t>
            </w:r>
            <w:proofErr w:type="gramEnd"/>
            <w:r w:rsidRPr="007C0F61">
              <w:rPr>
                <w:rFonts w:asciiTheme="minorHAnsi" w:eastAsiaTheme="minorHAnsi" w:hAnsiTheme="minorHAnsi" w:cstheme="minorHAnsi"/>
                <w:i/>
                <w:iCs/>
                <w:color w:val="000000"/>
                <w:sz w:val="20"/>
                <w:szCs w:val="20"/>
                <w:u w:color="000000"/>
                <w:lang w:eastAsia="en-US"/>
              </w:rPr>
              <w:t xml:space="preserve"> significant at 10%      </w:t>
            </w:r>
          </w:p>
          <w:p w14:paraId="01FF56CC" w14:textId="52791A35" w:rsidR="00AB65AB" w:rsidRPr="007C0F61" w:rsidRDefault="00AB65AB">
            <w:pPr>
              <w:autoSpaceDE w:val="0"/>
              <w:autoSpaceDN w:val="0"/>
              <w:adjustRightInd w:val="0"/>
              <w:spacing w:line="300" w:lineRule="atLeast"/>
              <w:rPr>
                <w:rFonts w:asciiTheme="minorHAnsi" w:eastAsiaTheme="minorHAnsi" w:hAnsiTheme="minorHAnsi" w:cstheme="minorHAnsi"/>
                <w:i/>
                <w:iCs/>
                <w:color w:val="000000"/>
                <w:sz w:val="20"/>
                <w:szCs w:val="20"/>
                <w:u w:color="000000"/>
                <w:lang w:eastAsia="en-US"/>
              </w:rPr>
            </w:pPr>
            <w:r w:rsidRPr="007C0F61">
              <w:rPr>
                <w:rFonts w:asciiTheme="minorHAnsi" w:eastAsiaTheme="minorHAnsi" w:hAnsiTheme="minorHAnsi" w:cstheme="minorHAnsi"/>
                <w:i/>
                <w:iCs/>
                <w:color w:val="000000"/>
                <w:sz w:val="20"/>
                <w:szCs w:val="20"/>
                <w:u w:color="000000"/>
                <w:lang w:eastAsia="en-US"/>
              </w:rPr>
              <w:t>Reference category is White.                                           </w:t>
            </w:r>
          </w:p>
        </w:tc>
      </w:tr>
    </w:tbl>
    <w:p w14:paraId="598E7B4B" w14:textId="77777777" w:rsidR="004B0741" w:rsidRDefault="004B0741" w:rsidP="004B0741">
      <w:pPr>
        <w:pStyle w:val="NoSpacing"/>
        <w:jc w:val="both"/>
        <w:rPr>
          <w:rFonts w:eastAsia="Times New Roman" w:cstheme="minorHAnsi"/>
          <w:sz w:val="20"/>
          <w:szCs w:val="20"/>
          <w:lang w:val="en-GB" w:eastAsia="en-GB"/>
        </w:rPr>
      </w:pPr>
    </w:p>
    <w:p w14:paraId="0ADD3C57" w14:textId="6470E1AC" w:rsidR="004E75CC" w:rsidRDefault="004E75CC" w:rsidP="004B0741">
      <w:pPr>
        <w:pStyle w:val="NoSpacing"/>
        <w:jc w:val="both"/>
        <w:rPr>
          <w:rFonts w:eastAsia="Times New Roman" w:cstheme="minorHAnsi"/>
          <w:sz w:val="20"/>
          <w:szCs w:val="20"/>
          <w:lang w:val="en-GB" w:eastAsia="en-GB"/>
        </w:rPr>
      </w:pPr>
      <w:r w:rsidRPr="007C0F61">
        <w:rPr>
          <w:rFonts w:eastAsia="Times New Roman" w:cstheme="minorHAnsi"/>
          <w:sz w:val="20"/>
          <w:szCs w:val="20"/>
          <w:lang w:val="en-GB" w:eastAsia="en-GB"/>
        </w:rPr>
        <w:t xml:space="preserve">Table </w:t>
      </w:r>
      <w:r w:rsidR="0086272F" w:rsidRPr="007C0F61">
        <w:rPr>
          <w:rFonts w:eastAsia="Times New Roman" w:cstheme="minorHAnsi"/>
          <w:sz w:val="20"/>
          <w:szCs w:val="20"/>
          <w:lang w:val="en-GB" w:eastAsia="en-GB"/>
        </w:rPr>
        <w:t>5</w:t>
      </w:r>
      <w:r w:rsidRPr="007C0F61">
        <w:rPr>
          <w:rFonts w:eastAsia="Times New Roman" w:cstheme="minorHAnsi"/>
          <w:sz w:val="20"/>
          <w:szCs w:val="20"/>
          <w:lang w:val="en-GB" w:eastAsia="en-GB"/>
        </w:rPr>
        <w:t xml:space="preserve"> represents the predicted probability of some prototypical individuals across different races</w:t>
      </w:r>
      <w:r w:rsidR="0086272F" w:rsidRPr="007C0F61">
        <w:rPr>
          <w:rFonts w:eastAsia="Times New Roman" w:cstheme="minorHAnsi"/>
          <w:sz w:val="20"/>
          <w:szCs w:val="20"/>
          <w:lang w:val="en-GB" w:eastAsia="en-GB"/>
        </w:rPr>
        <w:t xml:space="preserve"> from Probit model</w:t>
      </w:r>
      <w:r w:rsidRPr="007C0F61">
        <w:rPr>
          <w:rFonts w:eastAsia="Times New Roman" w:cstheme="minorHAnsi"/>
          <w:sz w:val="20"/>
          <w:szCs w:val="20"/>
          <w:lang w:val="en-GB" w:eastAsia="en-GB"/>
        </w:rPr>
        <w:t xml:space="preserve">. </w:t>
      </w:r>
      <w:proofErr w:type="gramStart"/>
      <w:r w:rsidR="00560B17" w:rsidRPr="007C0F61">
        <w:rPr>
          <w:rFonts w:eastAsia="Times New Roman" w:cstheme="minorHAnsi"/>
          <w:sz w:val="20"/>
          <w:szCs w:val="20"/>
          <w:lang w:val="en-GB" w:eastAsia="en-GB"/>
        </w:rPr>
        <w:t>Similar to</w:t>
      </w:r>
      <w:proofErr w:type="gramEnd"/>
      <w:r w:rsidR="00560B17" w:rsidRPr="007C0F61">
        <w:rPr>
          <w:rFonts w:eastAsia="Times New Roman" w:cstheme="minorHAnsi"/>
          <w:sz w:val="20"/>
          <w:szCs w:val="20"/>
          <w:lang w:val="en-GB" w:eastAsia="en-GB"/>
        </w:rPr>
        <w:t xml:space="preserve"> Logit model racial discrimination is also apparent from these results. White Single applicants who do meet the credit guidelines </w:t>
      </w:r>
      <w:r w:rsidR="00FF2560" w:rsidRPr="007C0F61">
        <w:rPr>
          <w:rFonts w:eastAsia="Times New Roman" w:cstheme="minorHAnsi"/>
          <w:sz w:val="20"/>
          <w:szCs w:val="20"/>
          <w:lang w:val="en-GB" w:eastAsia="en-GB"/>
        </w:rPr>
        <w:t xml:space="preserve">are </w:t>
      </w:r>
      <w:r w:rsidR="0008031D" w:rsidRPr="007C0F61">
        <w:rPr>
          <w:rFonts w:eastAsia="Times New Roman" w:cstheme="minorHAnsi"/>
          <w:sz w:val="20"/>
          <w:szCs w:val="20"/>
          <w:lang w:val="en-GB" w:eastAsia="en-GB"/>
        </w:rPr>
        <w:t xml:space="preserve">approximately </w:t>
      </w:r>
      <w:r w:rsidR="00FF2560" w:rsidRPr="007C0F61">
        <w:rPr>
          <w:rFonts w:eastAsia="Times New Roman" w:cstheme="minorHAnsi"/>
          <w:sz w:val="20"/>
          <w:szCs w:val="20"/>
          <w:lang w:val="en-GB" w:eastAsia="en-GB"/>
        </w:rPr>
        <w:t xml:space="preserve">twice as likely to receive </w:t>
      </w:r>
      <w:r w:rsidR="00560B17" w:rsidRPr="007C0F61">
        <w:rPr>
          <w:rFonts w:eastAsia="Times New Roman" w:cstheme="minorHAnsi"/>
          <w:sz w:val="20"/>
          <w:szCs w:val="20"/>
          <w:lang w:val="en-GB" w:eastAsia="en-GB"/>
        </w:rPr>
        <w:t>loan approval than similar Black</w:t>
      </w:r>
      <w:r w:rsidR="0008031D" w:rsidRPr="007C0F61">
        <w:rPr>
          <w:rFonts w:eastAsia="Times New Roman" w:cstheme="minorHAnsi"/>
          <w:sz w:val="20"/>
          <w:szCs w:val="20"/>
          <w:lang w:val="en-GB" w:eastAsia="en-GB"/>
        </w:rPr>
        <w:t xml:space="preserve"> and Hispanic</w:t>
      </w:r>
      <w:r w:rsidR="00560B17" w:rsidRPr="007C0F61">
        <w:rPr>
          <w:rFonts w:eastAsia="Times New Roman" w:cstheme="minorHAnsi"/>
          <w:sz w:val="20"/>
          <w:szCs w:val="20"/>
          <w:lang w:val="en-GB" w:eastAsia="en-GB"/>
        </w:rPr>
        <w:t xml:space="preserve"> applicants (with DTI and LTV evaluated at the mean).</w:t>
      </w:r>
      <w:r w:rsidR="0008031D" w:rsidRPr="007C0F61">
        <w:rPr>
          <w:rFonts w:eastAsia="Times New Roman" w:cstheme="minorHAnsi"/>
          <w:sz w:val="20"/>
          <w:szCs w:val="20"/>
          <w:lang w:val="en-GB" w:eastAsia="en-GB"/>
        </w:rPr>
        <w:t xml:space="preserve"> </w:t>
      </w:r>
      <w:r w:rsidR="00E72497" w:rsidRPr="007C0F61">
        <w:rPr>
          <w:rFonts w:eastAsia="Times New Roman" w:cstheme="minorHAnsi"/>
          <w:sz w:val="20"/>
          <w:szCs w:val="20"/>
          <w:lang w:val="en-GB" w:eastAsia="en-GB"/>
        </w:rPr>
        <w:t>Further, White Single applicants who meet the credit guidelines</w:t>
      </w:r>
      <w:r w:rsidR="005E4104" w:rsidRPr="007C0F61">
        <w:rPr>
          <w:rFonts w:eastAsia="Times New Roman" w:cstheme="minorHAnsi"/>
          <w:sz w:val="20"/>
          <w:szCs w:val="20"/>
          <w:lang w:val="en-GB" w:eastAsia="en-GB"/>
        </w:rPr>
        <w:t xml:space="preserve"> </w:t>
      </w:r>
      <w:r w:rsidR="00BC5885" w:rsidRPr="007C0F61">
        <w:rPr>
          <w:rFonts w:eastAsia="Times New Roman" w:cstheme="minorHAnsi"/>
          <w:sz w:val="20"/>
          <w:szCs w:val="20"/>
          <w:lang w:val="en-GB" w:eastAsia="en-GB"/>
        </w:rPr>
        <w:t xml:space="preserve">have 8% point and </w:t>
      </w:r>
      <w:proofErr w:type="gramStart"/>
      <w:r w:rsidR="00BC5885" w:rsidRPr="007C0F61">
        <w:rPr>
          <w:rFonts w:eastAsia="Times New Roman" w:cstheme="minorHAnsi"/>
          <w:sz w:val="20"/>
          <w:szCs w:val="20"/>
          <w:lang w:val="en-GB" w:eastAsia="en-GB"/>
        </w:rPr>
        <w:t>6% point</w:t>
      </w:r>
      <w:proofErr w:type="gramEnd"/>
      <w:r w:rsidR="00BC5885" w:rsidRPr="007C0F61">
        <w:rPr>
          <w:rFonts w:eastAsia="Times New Roman" w:cstheme="minorHAnsi"/>
          <w:sz w:val="20"/>
          <w:szCs w:val="20"/>
          <w:lang w:val="en-GB" w:eastAsia="en-GB"/>
        </w:rPr>
        <w:t xml:space="preserve"> higher probability of loan approval than their Black and Hispanic counterparts.</w:t>
      </w:r>
    </w:p>
    <w:p w14:paraId="2FB3411A" w14:textId="0AD5468F" w:rsidR="004B0741" w:rsidRPr="004B0741" w:rsidRDefault="004B0741" w:rsidP="004B0741">
      <w:pPr>
        <w:pStyle w:val="NoSpacing"/>
        <w:jc w:val="both"/>
        <w:rPr>
          <w:rFonts w:eastAsia="Times New Roman" w:cstheme="minorHAnsi"/>
          <w:sz w:val="20"/>
          <w:szCs w:val="20"/>
          <w:lang w:val="en-GB" w:eastAsia="en-GB"/>
        </w:rPr>
      </w:pPr>
    </w:p>
    <w:tbl>
      <w:tblPr>
        <w:tblW w:w="6511" w:type="dxa"/>
        <w:jc w:val="center"/>
        <w:tblBorders>
          <w:top w:val="nil"/>
          <w:left w:val="nil"/>
          <w:right w:val="nil"/>
        </w:tblBorders>
        <w:tblLayout w:type="fixed"/>
        <w:tblLook w:val="0000" w:firstRow="0" w:lastRow="0" w:firstColumn="0" w:lastColumn="0" w:noHBand="0" w:noVBand="0"/>
      </w:tblPr>
      <w:tblGrid>
        <w:gridCol w:w="3818"/>
        <w:gridCol w:w="850"/>
        <w:gridCol w:w="992"/>
        <w:gridCol w:w="851"/>
      </w:tblGrid>
      <w:tr w:rsidR="008E4F4B" w:rsidRPr="007C0F61" w14:paraId="65676DCE" w14:textId="77777777" w:rsidTr="00197219">
        <w:trPr>
          <w:jc w:val="center"/>
        </w:trPr>
        <w:tc>
          <w:tcPr>
            <w:tcW w:w="6511" w:type="dxa"/>
            <w:gridSpan w:val="4"/>
            <w:tcBorders>
              <w:top w:val="single" w:sz="8" w:space="0" w:color="000000"/>
              <w:left w:val="single" w:sz="8" w:space="0" w:color="000000"/>
              <w:bottom w:val="single" w:sz="16" w:space="0" w:color="000000"/>
              <w:right w:val="single" w:sz="8" w:space="0" w:color="000000"/>
            </w:tcBorders>
            <w:tcMar>
              <w:top w:w="20" w:type="nil"/>
              <w:left w:w="20" w:type="nil"/>
              <w:right w:w="20" w:type="nil"/>
            </w:tcMar>
            <w:vAlign w:val="bottom"/>
          </w:tcPr>
          <w:p w14:paraId="1B534AC0"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b/>
                <w:bCs/>
                <w:color w:val="000000"/>
                <w:sz w:val="20"/>
                <w:szCs w:val="20"/>
                <w:lang w:eastAsia="en-US"/>
              </w:rPr>
              <w:t>Table 5</w:t>
            </w:r>
            <w:r w:rsidRPr="007C0F61">
              <w:rPr>
                <w:rFonts w:asciiTheme="minorHAnsi" w:eastAsiaTheme="minorHAnsi" w:hAnsiTheme="minorHAnsi" w:cstheme="minorHAnsi"/>
                <w:color w:val="000000"/>
                <w:sz w:val="20"/>
                <w:szCs w:val="20"/>
                <w:lang w:eastAsia="en-US"/>
              </w:rPr>
              <w:t>: Predicted Probability of Loan Approval (Probit Model)</w:t>
            </w:r>
          </w:p>
        </w:tc>
      </w:tr>
      <w:tr w:rsidR="008E4F4B" w:rsidRPr="007C0F61" w14:paraId="2B330605" w14:textId="77777777" w:rsidTr="00197219">
        <w:tblPrEx>
          <w:tblBorders>
            <w:top w:val="none" w:sz="0" w:space="0" w:color="auto"/>
          </w:tblBorders>
        </w:tblPrEx>
        <w:trPr>
          <w:jc w:val="center"/>
        </w:trPr>
        <w:tc>
          <w:tcPr>
            <w:tcW w:w="3818" w:type="dxa"/>
            <w:tcBorders>
              <w:left w:val="single" w:sz="8" w:space="0" w:color="000000"/>
            </w:tcBorders>
            <w:tcMar>
              <w:top w:w="20" w:type="nil"/>
              <w:left w:w="20" w:type="nil"/>
              <w:right w:w="20" w:type="nil"/>
            </w:tcMar>
            <w:vAlign w:val="bottom"/>
          </w:tcPr>
          <w:p w14:paraId="4BEC71AB"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2693" w:type="dxa"/>
            <w:gridSpan w:val="3"/>
            <w:tcBorders>
              <w:top w:val="single" w:sz="16" w:space="0" w:color="000000"/>
              <w:bottom w:val="single" w:sz="8" w:space="0" w:color="000000"/>
              <w:right w:val="single" w:sz="8" w:space="0" w:color="000000"/>
            </w:tcBorders>
            <w:tcMar>
              <w:top w:w="20" w:type="nil"/>
              <w:left w:w="20" w:type="nil"/>
              <w:right w:w="20" w:type="nil"/>
            </w:tcMar>
            <w:vAlign w:val="bottom"/>
          </w:tcPr>
          <w:p w14:paraId="48D1944C" w14:textId="77777777" w:rsidR="008E4F4B" w:rsidRPr="007C0F61" w:rsidRDefault="008E4F4B" w:rsidP="00197219">
            <w:pPr>
              <w:autoSpaceDE w:val="0"/>
              <w:autoSpaceDN w:val="0"/>
              <w:adjustRightInd w:val="0"/>
              <w:spacing w:line="300" w:lineRule="atLeast"/>
              <w:jc w:val="center"/>
              <w:rPr>
                <w:rFonts w:asciiTheme="minorHAnsi" w:eastAsiaTheme="minorHAnsi" w:hAnsiTheme="minorHAnsi" w:cstheme="minorHAnsi"/>
                <w:b/>
                <w:bCs/>
                <w:color w:val="000000"/>
                <w:sz w:val="20"/>
                <w:szCs w:val="20"/>
                <w:lang w:eastAsia="en-US"/>
              </w:rPr>
            </w:pPr>
            <w:r w:rsidRPr="007C0F61">
              <w:rPr>
                <w:rFonts w:asciiTheme="minorHAnsi" w:eastAsiaTheme="minorHAnsi" w:hAnsiTheme="minorHAnsi" w:cstheme="minorHAnsi"/>
                <w:b/>
                <w:bCs/>
                <w:color w:val="000000"/>
                <w:sz w:val="20"/>
                <w:szCs w:val="20"/>
                <w:lang w:eastAsia="en-US"/>
              </w:rPr>
              <w:t>Race</w:t>
            </w:r>
          </w:p>
        </w:tc>
      </w:tr>
      <w:tr w:rsidR="008E4F4B" w:rsidRPr="007C0F61" w14:paraId="402CB1C3" w14:textId="77777777" w:rsidTr="00197219">
        <w:tblPrEx>
          <w:tblBorders>
            <w:top w:val="none" w:sz="0" w:space="0" w:color="auto"/>
          </w:tblBorders>
        </w:tblPrEx>
        <w:trPr>
          <w:jc w:val="center"/>
        </w:trPr>
        <w:tc>
          <w:tcPr>
            <w:tcW w:w="3818" w:type="dxa"/>
            <w:tcBorders>
              <w:left w:val="single" w:sz="8" w:space="0" w:color="000000"/>
              <w:bottom w:val="single" w:sz="8" w:space="0" w:color="000000"/>
            </w:tcBorders>
            <w:tcMar>
              <w:top w:w="20" w:type="nil"/>
              <w:left w:w="20" w:type="nil"/>
              <w:right w:w="20" w:type="nil"/>
            </w:tcMar>
            <w:vAlign w:val="bottom"/>
          </w:tcPr>
          <w:p w14:paraId="5F7AC28F"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w:t>
            </w:r>
          </w:p>
        </w:tc>
        <w:tc>
          <w:tcPr>
            <w:tcW w:w="850" w:type="dxa"/>
            <w:tcMar>
              <w:top w:w="20" w:type="nil"/>
              <w:left w:w="20" w:type="nil"/>
              <w:right w:w="20" w:type="nil"/>
            </w:tcMar>
            <w:vAlign w:val="bottom"/>
          </w:tcPr>
          <w:p w14:paraId="0386D280"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White</w:t>
            </w:r>
          </w:p>
        </w:tc>
        <w:tc>
          <w:tcPr>
            <w:tcW w:w="992" w:type="dxa"/>
            <w:tcBorders>
              <w:bottom w:val="single" w:sz="8" w:space="0" w:color="000000"/>
            </w:tcBorders>
            <w:tcMar>
              <w:top w:w="20" w:type="nil"/>
              <w:left w:w="20" w:type="nil"/>
              <w:right w:w="20" w:type="nil"/>
            </w:tcMar>
            <w:vAlign w:val="bottom"/>
          </w:tcPr>
          <w:p w14:paraId="66463737"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Hispanic</w:t>
            </w:r>
          </w:p>
        </w:tc>
        <w:tc>
          <w:tcPr>
            <w:tcW w:w="851" w:type="dxa"/>
            <w:tcBorders>
              <w:bottom w:val="single" w:sz="8" w:space="0" w:color="000000"/>
              <w:right w:val="single" w:sz="8" w:space="0" w:color="000000"/>
            </w:tcBorders>
            <w:tcMar>
              <w:top w:w="20" w:type="nil"/>
              <w:left w:w="20" w:type="nil"/>
              <w:right w:w="20" w:type="nil"/>
            </w:tcMar>
            <w:vAlign w:val="bottom"/>
          </w:tcPr>
          <w:p w14:paraId="2EC11418"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Black</w:t>
            </w:r>
          </w:p>
        </w:tc>
      </w:tr>
      <w:tr w:rsidR="008E4F4B" w:rsidRPr="007C0F61" w14:paraId="67734161" w14:textId="77777777" w:rsidTr="00197219">
        <w:tblPrEx>
          <w:tblBorders>
            <w:top w:val="none" w:sz="0" w:space="0" w:color="auto"/>
          </w:tblBorders>
        </w:tblPrEx>
        <w:trPr>
          <w:jc w:val="center"/>
        </w:trPr>
        <w:tc>
          <w:tcPr>
            <w:tcW w:w="3818" w:type="dxa"/>
            <w:tcBorders>
              <w:left w:val="single" w:sz="8" w:space="0" w:color="000000"/>
              <w:right w:val="single" w:sz="8" w:space="0" w:color="000000"/>
            </w:tcBorders>
            <w:tcMar>
              <w:top w:w="20" w:type="nil"/>
              <w:left w:w="20" w:type="nil"/>
              <w:right w:w="20" w:type="nil"/>
            </w:tcMar>
            <w:vAlign w:val="bottom"/>
          </w:tcPr>
          <w:p w14:paraId="0DAC65E7"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 &amp; Meeting Credit Guidelines</w:t>
            </w:r>
          </w:p>
        </w:tc>
        <w:tc>
          <w:tcPr>
            <w:tcW w:w="850" w:type="dxa"/>
            <w:tcBorders>
              <w:top w:val="single" w:sz="8" w:space="0" w:color="000000"/>
              <w:right w:val="single" w:sz="8" w:space="0" w:color="000000"/>
            </w:tcBorders>
            <w:tcMar>
              <w:top w:w="20" w:type="nil"/>
              <w:left w:w="20" w:type="nil"/>
              <w:right w:w="20" w:type="nil"/>
            </w:tcMar>
          </w:tcPr>
          <w:p w14:paraId="29CDFD27"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0.9610</w:t>
            </w:r>
          </w:p>
        </w:tc>
        <w:tc>
          <w:tcPr>
            <w:tcW w:w="992" w:type="dxa"/>
            <w:tcMar>
              <w:top w:w="20" w:type="nil"/>
              <w:left w:w="20" w:type="nil"/>
              <w:right w:w="20" w:type="nil"/>
            </w:tcMar>
          </w:tcPr>
          <w:p w14:paraId="5E75776A"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0.9171</w:t>
            </w:r>
          </w:p>
        </w:tc>
        <w:tc>
          <w:tcPr>
            <w:tcW w:w="851" w:type="dxa"/>
            <w:tcBorders>
              <w:left w:val="single" w:sz="8" w:space="0" w:color="000000"/>
              <w:right w:val="single" w:sz="8" w:space="0" w:color="000000"/>
            </w:tcBorders>
            <w:tcMar>
              <w:top w:w="20" w:type="nil"/>
              <w:left w:w="20" w:type="nil"/>
              <w:right w:w="20" w:type="nil"/>
            </w:tcMar>
          </w:tcPr>
          <w:p w14:paraId="5B730AD4"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0.9029</w:t>
            </w:r>
          </w:p>
        </w:tc>
      </w:tr>
      <w:tr w:rsidR="008E4F4B" w:rsidRPr="007C0F61" w14:paraId="7155A818" w14:textId="77777777" w:rsidTr="00197219">
        <w:tblPrEx>
          <w:tblBorders>
            <w:top w:val="none" w:sz="0" w:space="0" w:color="auto"/>
          </w:tblBorders>
        </w:tblPrEx>
        <w:trPr>
          <w:jc w:val="center"/>
        </w:trPr>
        <w:tc>
          <w:tcPr>
            <w:tcW w:w="3818" w:type="dxa"/>
            <w:tcBorders>
              <w:left w:val="single" w:sz="8" w:space="0" w:color="000000"/>
              <w:right w:val="single" w:sz="8" w:space="0" w:color="000000"/>
            </w:tcBorders>
            <w:tcMar>
              <w:top w:w="20" w:type="nil"/>
              <w:left w:w="20" w:type="nil"/>
              <w:right w:w="20" w:type="nil"/>
            </w:tcMar>
            <w:vAlign w:val="bottom"/>
          </w:tcPr>
          <w:p w14:paraId="4BA00253"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Married &amp; Not Meeting Credit Guidelines</w:t>
            </w:r>
          </w:p>
        </w:tc>
        <w:tc>
          <w:tcPr>
            <w:tcW w:w="850" w:type="dxa"/>
            <w:tcMar>
              <w:top w:w="20" w:type="nil"/>
              <w:left w:w="20" w:type="nil"/>
              <w:right w:w="20" w:type="nil"/>
            </w:tcMar>
          </w:tcPr>
          <w:p w14:paraId="54860D0F"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0.3237</w:t>
            </w:r>
          </w:p>
        </w:tc>
        <w:tc>
          <w:tcPr>
            <w:tcW w:w="992" w:type="dxa"/>
            <w:tcBorders>
              <w:left w:val="single" w:sz="8" w:space="0" w:color="000000"/>
            </w:tcBorders>
            <w:tcMar>
              <w:top w:w="20" w:type="nil"/>
              <w:left w:w="20" w:type="nil"/>
              <w:right w:w="20" w:type="nil"/>
            </w:tcMar>
          </w:tcPr>
          <w:p w14:paraId="35AFC94C"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0.2020</w:t>
            </w:r>
          </w:p>
        </w:tc>
        <w:tc>
          <w:tcPr>
            <w:tcW w:w="851" w:type="dxa"/>
            <w:tcBorders>
              <w:left w:val="single" w:sz="8" w:space="0" w:color="000000"/>
              <w:right w:val="single" w:sz="8" w:space="0" w:color="000000"/>
            </w:tcBorders>
            <w:tcMar>
              <w:top w:w="20" w:type="nil"/>
              <w:left w:w="20" w:type="nil"/>
              <w:right w:w="20" w:type="nil"/>
            </w:tcMar>
          </w:tcPr>
          <w:p w14:paraId="33CA4213"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0.1782</w:t>
            </w:r>
          </w:p>
        </w:tc>
      </w:tr>
      <w:tr w:rsidR="008E4F4B" w:rsidRPr="007C0F61" w14:paraId="41317E8A" w14:textId="77777777" w:rsidTr="00197219">
        <w:tblPrEx>
          <w:tblBorders>
            <w:top w:val="none" w:sz="0" w:space="0" w:color="auto"/>
          </w:tblBorders>
        </w:tblPrEx>
        <w:trPr>
          <w:jc w:val="center"/>
        </w:trPr>
        <w:tc>
          <w:tcPr>
            <w:tcW w:w="3818" w:type="dxa"/>
            <w:tcBorders>
              <w:left w:val="single" w:sz="8" w:space="0" w:color="000000"/>
              <w:right w:val="single" w:sz="8" w:space="0" w:color="000000"/>
            </w:tcBorders>
            <w:tcMar>
              <w:top w:w="20" w:type="nil"/>
              <w:left w:w="20" w:type="nil"/>
              <w:right w:w="20" w:type="nil"/>
            </w:tcMar>
            <w:vAlign w:val="bottom"/>
          </w:tcPr>
          <w:p w14:paraId="7E1E8EB6"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Single &amp; Meeting Credit Guidelines</w:t>
            </w:r>
          </w:p>
        </w:tc>
        <w:tc>
          <w:tcPr>
            <w:tcW w:w="850" w:type="dxa"/>
            <w:tcMar>
              <w:top w:w="20" w:type="nil"/>
              <w:left w:w="20" w:type="nil"/>
              <w:right w:w="20" w:type="nil"/>
            </w:tcMar>
          </w:tcPr>
          <w:p w14:paraId="7555CED4"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0.9361</w:t>
            </w:r>
          </w:p>
        </w:tc>
        <w:tc>
          <w:tcPr>
            <w:tcW w:w="992" w:type="dxa"/>
            <w:tcBorders>
              <w:left w:val="single" w:sz="8" w:space="0" w:color="000000"/>
            </w:tcBorders>
            <w:tcMar>
              <w:top w:w="20" w:type="nil"/>
              <w:left w:w="20" w:type="nil"/>
              <w:right w:w="20" w:type="nil"/>
            </w:tcMar>
          </w:tcPr>
          <w:p w14:paraId="77EC9ED0"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0.8740</w:t>
            </w:r>
          </w:p>
        </w:tc>
        <w:tc>
          <w:tcPr>
            <w:tcW w:w="851" w:type="dxa"/>
            <w:tcBorders>
              <w:left w:val="single" w:sz="8" w:space="0" w:color="000000"/>
              <w:right w:val="single" w:sz="8" w:space="0" w:color="000000"/>
            </w:tcBorders>
            <w:tcMar>
              <w:top w:w="20" w:type="nil"/>
              <w:left w:w="20" w:type="nil"/>
              <w:right w:w="20" w:type="nil"/>
            </w:tcMar>
          </w:tcPr>
          <w:p w14:paraId="4B957EE2"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0.8550</w:t>
            </w:r>
          </w:p>
        </w:tc>
      </w:tr>
      <w:tr w:rsidR="008E4F4B" w:rsidRPr="007C0F61" w14:paraId="1EAAA072" w14:textId="77777777" w:rsidTr="00197219">
        <w:tblPrEx>
          <w:tblBorders>
            <w:top w:val="none" w:sz="0" w:space="0" w:color="auto"/>
          </w:tblBorders>
        </w:tblPrEx>
        <w:trPr>
          <w:jc w:val="center"/>
        </w:trPr>
        <w:tc>
          <w:tcPr>
            <w:tcW w:w="3818" w:type="dxa"/>
            <w:tcBorders>
              <w:left w:val="single" w:sz="8" w:space="0" w:color="000000"/>
              <w:right w:val="single" w:sz="8" w:space="0" w:color="000000"/>
            </w:tcBorders>
            <w:tcMar>
              <w:top w:w="20" w:type="nil"/>
              <w:left w:w="20" w:type="nil"/>
              <w:right w:w="20" w:type="nil"/>
            </w:tcMar>
            <w:vAlign w:val="bottom"/>
          </w:tcPr>
          <w:p w14:paraId="22D05731" w14:textId="1907AA9B"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Single &amp; </w:t>
            </w:r>
            <w:r w:rsidR="00740CBD" w:rsidRPr="007C0F61">
              <w:rPr>
                <w:rFonts w:asciiTheme="minorHAnsi" w:eastAsiaTheme="minorHAnsi" w:hAnsiTheme="minorHAnsi" w:cstheme="minorHAnsi"/>
                <w:color w:val="000000"/>
                <w:sz w:val="20"/>
                <w:szCs w:val="20"/>
                <w:lang w:eastAsia="en-US"/>
              </w:rPr>
              <w:t xml:space="preserve">Not </w:t>
            </w:r>
            <w:r w:rsidRPr="007C0F61">
              <w:rPr>
                <w:rFonts w:asciiTheme="minorHAnsi" w:eastAsiaTheme="minorHAnsi" w:hAnsiTheme="minorHAnsi" w:cstheme="minorHAnsi"/>
                <w:color w:val="000000"/>
                <w:sz w:val="20"/>
                <w:szCs w:val="20"/>
                <w:lang w:eastAsia="en-US"/>
              </w:rPr>
              <w:t>Meeting Credit Guidelines</w:t>
            </w:r>
          </w:p>
        </w:tc>
        <w:tc>
          <w:tcPr>
            <w:tcW w:w="850" w:type="dxa"/>
            <w:tcMar>
              <w:top w:w="20" w:type="nil"/>
              <w:left w:w="20" w:type="nil"/>
              <w:right w:w="20" w:type="nil"/>
            </w:tcMar>
          </w:tcPr>
          <w:p w14:paraId="2DADAB39"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0.2428</w:t>
            </w:r>
          </w:p>
        </w:tc>
        <w:tc>
          <w:tcPr>
            <w:tcW w:w="992" w:type="dxa"/>
            <w:tcBorders>
              <w:left w:val="single" w:sz="8" w:space="0" w:color="000000"/>
            </w:tcBorders>
            <w:tcMar>
              <w:top w:w="20" w:type="nil"/>
              <w:left w:w="20" w:type="nil"/>
              <w:right w:w="20" w:type="nil"/>
            </w:tcMar>
          </w:tcPr>
          <w:p w14:paraId="7A8E7AED"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0.1413</w:t>
            </w:r>
          </w:p>
        </w:tc>
        <w:tc>
          <w:tcPr>
            <w:tcW w:w="851" w:type="dxa"/>
            <w:tcBorders>
              <w:left w:val="single" w:sz="8" w:space="0" w:color="000000"/>
              <w:right w:val="single" w:sz="8" w:space="0" w:color="000000"/>
            </w:tcBorders>
            <w:tcMar>
              <w:top w:w="20" w:type="nil"/>
              <w:left w:w="20" w:type="nil"/>
              <w:right w:w="20" w:type="nil"/>
            </w:tcMar>
          </w:tcPr>
          <w:p w14:paraId="470ED267" w14:textId="7777777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0.1226</w:t>
            </w:r>
          </w:p>
        </w:tc>
      </w:tr>
      <w:tr w:rsidR="008E4F4B" w:rsidRPr="007C0F61" w14:paraId="6E6ACF93" w14:textId="77777777" w:rsidTr="00197219">
        <w:trPr>
          <w:jc w:val="center"/>
        </w:trPr>
        <w:tc>
          <w:tcPr>
            <w:tcW w:w="6511" w:type="dxa"/>
            <w:gridSpan w:val="4"/>
            <w:tcBorders>
              <w:top w:val="single" w:sz="8" w:space="0" w:color="000000"/>
              <w:left w:val="single" w:sz="8" w:space="0" w:color="000000"/>
              <w:bottom w:val="single" w:sz="8" w:space="0" w:color="000000"/>
              <w:right w:val="single" w:sz="8" w:space="0" w:color="000000"/>
            </w:tcBorders>
            <w:tcMar>
              <w:top w:w="20" w:type="nil"/>
              <w:left w:w="20" w:type="nil"/>
              <w:right w:w="20" w:type="nil"/>
            </w:tcMar>
            <w:vAlign w:val="bottom"/>
          </w:tcPr>
          <w:p w14:paraId="2AAD8BC3" w14:textId="7265C1D7" w:rsidR="008E4F4B" w:rsidRPr="007C0F61" w:rsidRDefault="008E4F4B"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Note: Mean </w:t>
            </w:r>
            <w:r w:rsidR="00612226" w:rsidRPr="007C0F61">
              <w:rPr>
                <w:rFonts w:asciiTheme="minorHAnsi" w:eastAsiaTheme="minorHAnsi" w:hAnsiTheme="minorHAnsi" w:cstheme="minorHAnsi"/>
                <w:color w:val="000000"/>
                <w:sz w:val="20"/>
                <w:szCs w:val="20"/>
                <w:lang w:eastAsia="en-US"/>
              </w:rPr>
              <w:t>DTI: 32.39%</w:t>
            </w:r>
            <w:r w:rsidRPr="007C0F61">
              <w:rPr>
                <w:rFonts w:asciiTheme="minorHAnsi" w:eastAsiaTheme="minorHAnsi" w:hAnsiTheme="minorHAnsi" w:cstheme="minorHAnsi"/>
                <w:color w:val="000000"/>
                <w:sz w:val="20"/>
                <w:szCs w:val="20"/>
                <w:lang w:eastAsia="en-US"/>
              </w:rPr>
              <w:t>,</w:t>
            </w:r>
            <w:r w:rsidR="00612226" w:rsidRPr="007C0F61">
              <w:rPr>
                <w:rFonts w:asciiTheme="minorHAnsi" w:eastAsiaTheme="minorHAnsi" w:hAnsiTheme="minorHAnsi" w:cstheme="minorHAnsi"/>
                <w:color w:val="000000"/>
                <w:sz w:val="20"/>
                <w:szCs w:val="20"/>
                <w:lang w:eastAsia="en-US"/>
              </w:rPr>
              <w:t xml:space="preserve"> </w:t>
            </w:r>
            <w:r w:rsidRPr="007C0F61">
              <w:rPr>
                <w:rFonts w:asciiTheme="minorHAnsi" w:eastAsiaTheme="minorHAnsi" w:hAnsiTheme="minorHAnsi" w:cstheme="minorHAnsi"/>
                <w:color w:val="000000"/>
                <w:sz w:val="20"/>
                <w:szCs w:val="20"/>
                <w:lang w:eastAsia="en-US"/>
              </w:rPr>
              <w:t xml:space="preserve">Mean </w:t>
            </w:r>
            <w:r w:rsidR="00612226" w:rsidRPr="007C0F61">
              <w:rPr>
                <w:rFonts w:asciiTheme="minorHAnsi" w:eastAsiaTheme="minorHAnsi" w:hAnsiTheme="minorHAnsi" w:cstheme="minorHAnsi"/>
                <w:color w:val="000000"/>
                <w:sz w:val="20"/>
                <w:szCs w:val="20"/>
                <w:lang w:eastAsia="en-US"/>
              </w:rPr>
              <w:t>LTV</w:t>
            </w:r>
            <w:r w:rsidRPr="007C0F61">
              <w:rPr>
                <w:rFonts w:asciiTheme="minorHAnsi" w:eastAsiaTheme="minorHAnsi" w:hAnsiTheme="minorHAnsi" w:cstheme="minorHAnsi"/>
                <w:color w:val="000000"/>
                <w:sz w:val="20"/>
                <w:szCs w:val="20"/>
                <w:lang w:eastAsia="en-US"/>
              </w:rPr>
              <w:t>: 77.03 %</w:t>
            </w:r>
          </w:p>
          <w:p w14:paraId="5120B273" w14:textId="166F07B7" w:rsidR="00612226" w:rsidRPr="007C0F61" w:rsidRDefault="00612226" w:rsidP="00197219">
            <w:pPr>
              <w:autoSpaceDE w:val="0"/>
              <w:autoSpaceDN w:val="0"/>
              <w:adjustRightInd w:val="0"/>
              <w:spacing w:line="300" w:lineRule="atLeast"/>
              <w:rPr>
                <w:rFonts w:asciiTheme="minorHAnsi" w:eastAsiaTheme="minorHAnsi" w:hAnsiTheme="minorHAnsi" w:cstheme="minorHAnsi"/>
                <w:color w:val="000000"/>
                <w:sz w:val="20"/>
                <w:szCs w:val="20"/>
                <w:lang w:eastAsia="en-US"/>
              </w:rPr>
            </w:pPr>
            <w:r w:rsidRPr="007C0F61">
              <w:rPr>
                <w:rFonts w:asciiTheme="minorHAnsi" w:eastAsiaTheme="minorHAnsi" w:hAnsiTheme="minorHAnsi" w:cstheme="minorHAnsi"/>
                <w:color w:val="000000"/>
                <w:sz w:val="20"/>
                <w:szCs w:val="20"/>
                <w:lang w:eastAsia="en-US"/>
              </w:rPr>
              <w:t xml:space="preserve">DTI and LTV are evaluated at the mean of </w:t>
            </w:r>
            <w:r w:rsidR="0072297B">
              <w:rPr>
                <w:rFonts w:asciiTheme="minorHAnsi" w:eastAsiaTheme="minorHAnsi" w:hAnsiTheme="minorHAnsi" w:cstheme="minorHAnsi"/>
                <w:color w:val="000000"/>
                <w:sz w:val="20"/>
                <w:szCs w:val="20"/>
                <w:lang w:eastAsia="en-US"/>
              </w:rPr>
              <w:t xml:space="preserve">the </w:t>
            </w:r>
            <w:r w:rsidRPr="007C0F61">
              <w:rPr>
                <w:rFonts w:asciiTheme="minorHAnsi" w:eastAsiaTheme="minorHAnsi" w:hAnsiTheme="minorHAnsi" w:cstheme="minorHAnsi"/>
                <w:color w:val="000000"/>
                <w:sz w:val="20"/>
                <w:szCs w:val="20"/>
                <w:lang w:eastAsia="en-US"/>
              </w:rPr>
              <w:t>entire valid data set</w:t>
            </w:r>
          </w:p>
        </w:tc>
      </w:tr>
    </w:tbl>
    <w:p w14:paraId="4F748E4E" w14:textId="77777777" w:rsidR="004B0741" w:rsidRDefault="004B0741" w:rsidP="004B0741">
      <w:pPr>
        <w:pStyle w:val="Heading1"/>
        <w:jc w:val="both"/>
        <w:rPr>
          <w:rFonts w:asciiTheme="minorHAnsi" w:hAnsiTheme="minorHAnsi" w:cstheme="minorHAnsi"/>
        </w:rPr>
      </w:pPr>
    </w:p>
    <w:p w14:paraId="7C4B680E" w14:textId="77777777" w:rsidR="004B0741" w:rsidRDefault="004B0741">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47BD3A46" w14:textId="45843754" w:rsidR="00E95FEE" w:rsidRPr="001C401B" w:rsidRDefault="003469EA" w:rsidP="00E95FEE">
      <w:pPr>
        <w:pStyle w:val="Heading1"/>
        <w:numPr>
          <w:ilvl w:val="0"/>
          <w:numId w:val="2"/>
        </w:numPr>
        <w:jc w:val="both"/>
        <w:rPr>
          <w:rFonts w:asciiTheme="minorHAnsi" w:hAnsiTheme="minorHAnsi" w:cstheme="minorHAnsi"/>
        </w:rPr>
      </w:pPr>
      <w:r w:rsidRPr="001C401B">
        <w:rPr>
          <w:rFonts w:asciiTheme="minorHAnsi" w:hAnsiTheme="minorHAnsi" w:cstheme="minorHAnsi"/>
        </w:rPr>
        <w:lastRenderedPageBreak/>
        <w:t>Conclusion</w:t>
      </w:r>
    </w:p>
    <w:p w14:paraId="739B1868" w14:textId="77777777" w:rsidR="00E95FEE" w:rsidRPr="007C0F61" w:rsidRDefault="00E95FEE" w:rsidP="005B0E84">
      <w:pPr>
        <w:pStyle w:val="NoSpacing"/>
        <w:jc w:val="both"/>
        <w:rPr>
          <w:rFonts w:cstheme="minorHAnsi"/>
          <w:sz w:val="20"/>
          <w:szCs w:val="20"/>
        </w:rPr>
      </w:pPr>
    </w:p>
    <w:p w14:paraId="035039F3" w14:textId="5246DDEF" w:rsidR="009C4A01" w:rsidRPr="007C0F61" w:rsidRDefault="00A90EA5" w:rsidP="005B0E84">
      <w:pPr>
        <w:pStyle w:val="NoSpacing"/>
        <w:jc w:val="both"/>
        <w:rPr>
          <w:rFonts w:cstheme="minorHAnsi"/>
          <w:sz w:val="20"/>
          <w:szCs w:val="20"/>
        </w:rPr>
      </w:pPr>
      <w:r w:rsidRPr="007C0F61">
        <w:rPr>
          <w:rFonts w:cstheme="minorHAnsi"/>
          <w:sz w:val="20"/>
          <w:szCs w:val="20"/>
        </w:rPr>
        <w:t xml:space="preserve">Our study concludes on the existence of racial discrimination </w:t>
      </w:r>
      <w:r w:rsidR="00EB2CC1" w:rsidRPr="007C0F61">
        <w:rPr>
          <w:rFonts w:cstheme="minorHAnsi"/>
          <w:sz w:val="20"/>
          <w:szCs w:val="20"/>
        </w:rPr>
        <w:t xml:space="preserve">in Mortgage Lending </w:t>
      </w:r>
      <w:r w:rsidR="004B1120">
        <w:rPr>
          <w:rFonts w:cstheme="minorHAnsi"/>
          <w:sz w:val="20"/>
          <w:szCs w:val="20"/>
        </w:rPr>
        <w:t>P</w:t>
      </w:r>
      <w:r w:rsidR="00EB2CC1" w:rsidRPr="007C0F61">
        <w:rPr>
          <w:rFonts w:cstheme="minorHAnsi"/>
          <w:sz w:val="20"/>
          <w:szCs w:val="20"/>
        </w:rPr>
        <w:t>ractices</w:t>
      </w:r>
      <w:r w:rsidR="00752C6D" w:rsidRPr="007C0F61">
        <w:rPr>
          <w:rFonts w:cstheme="minorHAnsi"/>
          <w:sz w:val="20"/>
          <w:szCs w:val="20"/>
        </w:rPr>
        <w:t xml:space="preserve">. </w:t>
      </w:r>
      <w:r w:rsidR="00DC5C42" w:rsidRPr="007C0F61">
        <w:rPr>
          <w:rFonts w:cstheme="minorHAnsi"/>
          <w:sz w:val="20"/>
          <w:szCs w:val="20"/>
        </w:rPr>
        <w:t xml:space="preserve">Furthermore, this racial discrimination exists even across a spectrum of equal potential applicants (statistically significant </w:t>
      </w:r>
      <w:r w:rsidR="006A1D82" w:rsidRPr="007C0F61">
        <w:rPr>
          <w:rFonts w:cstheme="minorHAnsi"/>
          <w:sz w:val="20"/>
          <w:szCs w:val="20"/>
        </w:rPr>
        <w:t xml:space="preserve">estimates </w:t>
      </w:r>
      <w:r w:rsidR="00DC5C42" w:rsidRPr="007C0F61">
        <w:rPr>
          <w:rFonts w:cstheme="minorHAnsi"/>
          <w:sz w:val="20"/>
          <w:szCs w:val="20"/>
        </w:rPr>
        <w:t>and viable probabilities)</w:t>
      </w:r>
      <w:r w:rsidR="00B77638" w:rsidRPr="007C0F61">
        <w:rPr>
          <w:rFonts w:cstheme="minorHAnsi"/>
          <w:sz w:val="20"/>
          <w:szCs w:val="20"/>
        </w:rPr>
        <w:t xml:space="preserve"> i.e. White</w:t>
      </w:r>
      <w:r w:rsidR="007606CA" w:rsidRPr="007C0F61">
        <w:rPr>
          <w:rFonts w:cstheme="minorHAnsi"/>
          <w:sz w:val="20"/>
          <w:szCs w:val="20"/>
        </w:rPr>
        <w:t>s</w:t>
      </w:r>
      <w:r w:rsidR="00B77638" w:rsidRPr="007C0F61">
        <w:rPr>
          <w:rFonts w:cstheme="minorHAnsi"/>
          <w:sz w:val="20"/>
          <w:szCs w:val="20"/>
        </w:rPr>
        <w:t xml:space="preserve"> have</w:t>
      </w:r>
      <w:r w:rsidR="004B1120">
        <w:rPr>
          <w:rFonts w:cstheme="minorHAnsi"/>
          <w:sz w:val="20"/>
          <w:szCs w:val="20"/>
        </w:rPr>
        <w:t xml:space="preserve"> a</w:t>
      </w:r>
      <w:r w:rsidR="00B77638" w:rsidRPr="007C0F61">
        <w:rPr>
          <w:rFonts w:cstheme="minorHAnsi"/>
          <w:sz w:val="20"/>
          <w:szCs w:val="20"/>
        </w:rPr>
        <w:t xml:space="preserve"> higher probability of loan approval than their Black and Hispanic counterparts.</w:t>
      </w:r>
    </w:p>
    <w:p w14:paraId="26BBCCCB" w14:textId="3EFC7459" w:rsidR="00C50B98" w:rsidRPr="007C0F61" w:rsidRDefault="00C50B98" w:rsidP="00EB2CC1">
      <w:pPr>
        <w:pStyle w:val="NoSpacing"/>
        <w:jc w:val="both"/>
        <w:rPr>
          <w:rFonts w:cstheme="minorHAnsi"/>
          <w:sz w:val="20"/>
          <w:szCs w:val="20"/>
        </w:rPr>
      </w:pPr>
    </w:p>
    <w:p w14:paraId="6B38D572" w14:textId="7E401445" w:rsidR="001B3D5D" w:rsidRPr="007C0F61" w:rsidRDefault="001B3D5D" w:rsidP="00EB2CC1">
      <w:pPr>
        <w:pStyle w:val="NoSpacing"/>
        <w:jc w:val="both"/>
        <w:rPr>
          <w:rFonts w:cstheme="minorHAnsi"/>
          <w:sz w:val="20"/>
          <w:szCs w:val="20"/>
        </w:rPr>
      </w:pPr>
      <w:r w:rsidRPr="007C0F61">
        <w:rPr>
          <w:rFonts w:cstheme="minorHAnsi"/>
          <w:sz w:val="20"/>
          <w:szCs w:val="20"/>
        </w:rPr>
        <w:t xml:space="preserve">Historically, US is struggling </w:t>
      </w:r>
      <w:r w:rsidR="00444C64" w:rsidRPr="007C0F61">
        <w:rPr>
          <w:rFonts w:cstheme="minorHAnsi"/>
          <w:sz w:val="20"/>
          <w:szCs w:val="20"/>
        </w:rPr>
        <w:t>to</w:t>
      </w:r>
      <w:r w:rsidRPr="007C0F61">
        <w:rPr>
          <w:rFonts w:cstheme="minorHAnsi"/>
          <w:sz w:val="20"/>
          <w:szCs w:val="20"/>
        </w:rPr>
        <w:t xml:space="preserve"> implement fair mortgage </w:t>
      </w:r>
      <w:r w:rsidR="00444C64" w:rsidRPr="007C0F61">
        <w:rPr>
          <w:rFonts w:cstheme="minorHAnsi"/>
          <w:sz w:val="20"/>
          <w:szCs w:val="20"/>
        </w:rPr>
        <w:t xml:space="preserve">lending </w:t>
      </w:r>
      <w:r w:rsidRPr="007C0F61">
        <w:rPr>
          <w:rFonts w:cstheme="minorHAnsi"/>
          <w:sz w:val="20"/>
          <w:szCs w:val="20"/>
        </w:rPr>
        <w:t xml:space="preserve">practices across the board to eliminate racial bias and provide equal opportunities to minorities. </w:t>
      </w:r>
      <w:r w:rsidR="00444C64" w:rsidRPr="007C0F61">
        <w:rPr>
          <w:rFonts w:cstheme="minorHAnsi"/>
          <w:sz w:val="20"/>
          <w:szCs w:val="20"/>
        </w:rPr>
        <w:t>In 199</w:t>
      </w:r>
      <w:r w:rsidR="00340A79" w:rsidRPr="007C0F61">
        <w:rPr>
          <w:rFonts w:cstheme="minorHAnsi"/>
          <w:sz w:val="20"/>
          <w:szCs w:val="20"/>
        </w:rPr>
        <w:t>0</w:t>
      </w:r>
      <w:r w:rsidR="00444C64" w:rsidRPr="007C0F61">
        <w:rPr>
          <w:rFonts w:cstheme="minorHAnsi"/>
          <w:sz w:val="20"/>
          <w:szCs w:val="20"/>
        </w:rPr>
        <w:t xml:space="preserve">, the mortgage </w:t>
      </w:r>
      <w:r w:rsidR="00340A79" w:rsidRPr="007C0F61">
        <w:rPr>
          <w:rFonts w:cstheme="minorHAnsi"/>
          <w:sz w:val="20"/>
          <w:szCs w:val="20"/>
        </w:rPr>
        <w:t>approval</w:t>
      </w:r>
      <w:r w:rsidR="00444C64" w:rsidRPr="007C0F61">
        <w:rPr>
          <w:rFonts w:cstheme="minorHAnsi"/>
          <w:sz w:val="20"/>
          <w:szCs w:val="20"/>
        </w:rPr>
        <w:t xml:space="preserve"> rate for </w:t>
      </w:r>
      <w:r w:rsidR="00340A79" w:rsidRPr="007C0F61">
        <w:rPr>
          <w:rFonts w:cstheme="minorHAnsi"/>
          <w:sz w:val="20"/>
          <w:szCs w:val="20"/>
        </w:rPr>
        <w:t>White</w:t>
      </w:r>
      <w:r w:rsidR="00444C64" w:rsidRPr="007C0F61">
        <w:rPr>
          <w:rFonts w:cstheme="minorHAnsi"/>
          <w:sz w:val="20"/>
          <w:szCs w:val="20"/>
        </w:rPr>
        <w:t xml:space="preserve"> applicants was twice as much as for the </w:t>
      </w:r>
      <w:r w:rsidR="00340A79" w:rsidRPr="007C0F61">
        <w:rPr>
          <w:rFonts w:cstheme="minorHAnsi"/>
          <w:sz w:val="20"/>
          <w:szCs w:val="20"/>
        </w:rPr>
        <w:t xml:space="preserve">Blacks (our research) and even after </w:t>
      </w:r>
      <w:r w:rsidR="00DF22F2" w:rsidRPr="007C0F61">
        <w:rPr>
          <w:rFonts w:cstheme="minorHAnsi"/>
          <w:sz w:val="20"/>
          <w:szCs w:val="20"/>
        </w:rPr>
        <w:t xml:space="preserve">three decades, </w:t>
      </w:r>
      <w:r w:rsidR="00D009E4" w:rsidRPr="007C0F61">
        <w:rPr>
          <w:rFonts w:cstheme="minorHAnsi"/>
          <w:sz w:val="20"/>
          <w:szCs w:val="20"/>
        </w:rPr>
        <w:t>Blacks still face denial rate twice high as that of Whites (2013 – Denial rate Blacks: 24%, Hispanics: 20% and Whites: 12%)</w:t>
      </w:r>
      <w:r w:rsidR="004E1DF5" w:rsidRPr="007C0F61">
        <w:rPr>
          <w:rFonts w:cstheme="minorHAnsi"/>
          <w:sz w:val="20"/>
          <w:szCs w:val="20"/>
        </w:rPr>
        <w:t xml:space="preserve"> [3]</w:t>
      </w:r>
      <w:r w:rsidR="00D009E4" w:rsidRPr="007C0F61">
        <w:rPr>
          <w:rFonts w:cstheme="minorHAnsi"/>
          <w:sz w:val="20"/>
          <w:szCs w:val="20"/>
        </w:rPr>
        <w:t>.</w:t>
      </w:r>
    </w:p>
    <w:p w14:paraId="1ADA1300" w14:textId="369B8226" w:rsidR="00B00C28" w:rsidRPr="007C0F61" w:rsidRDefault="00B00C28" w:rsidP="005B0E84">
      <w:pPr>
        <w:pStyle w:val="NoSpacing"/>
        <w:jc w:val="both"/>
        <w:rPr>
          <w:rFonts w:cstheme="minorHAnsi"/>
          <w:sz w:val="20"/>
          <w:szCs w:val="20"/>
        </w:rPr>
      </w:pPr>
    </w:p>
    <w:p w14:paraId="2074D944" w14:textId="6BF5BE2B" w:rsidR="00C17C31" w:rsidRPr="007C0F61" w:rsidRDefault="001B4BA5" w:rsidP="000855F0">
      <w:pPr>
        <w:pStyle w:val="NoSpacing"/>
        <w:jc w:val="both"/>
        <w:rPr>
          <w:rFonts w:eastAsia="Times New Roman" w:cstheme="minorHAnsi"/>
          <w:sz w:val="20"/>
          <w:szCs w:val="20"/>
          <w:lang w:val="en-GB" w:eastAsia="en-GB"/>
        </w:rPr>
      </w:pPr>
      <w:r w:rsidRPr="007C0F61">
        <w:rPr>
          <w:rFonts w:eastAsia="Times New Roman" w:cstheme="minorHAnsi"/>
          <w:sz w:val="20"/>
          <w:szCs w:val="20"/>
          <w:lang w:val="en-GB" w:eastAsia="en-GB"/>
        </w:rPr>
        <w:t xml:space="preserve">We </w:t>
      </w:r>
      <w:r w:rsidR="000855F0" w:rsidRPr="007C0F61">
        <w:rPr>
          <w:rFonts w:eastAsia="Times New Roman" w:cstheme="minorHAnsi"/>
          <w:sz w:val="20"/>
          <w:szCs w:val="20"/>
          <w:lang w:val="en-GB" w:eastAsia="en-GB"/>
        </w:rPr>
        <w:t>find</w:t>
      </w:r>
      <w:r w:rsidRPr="007C0F61">
        <w:rPr>
          <w:rFonts w:eastAsia="Times New Roman" w:cstheme="minorHAnsi"/>
          <w:sz w:val="20"/>
          <w:szCs w:val="20"/>
          <w:lang w:val="en-GB" w:eastAsia="en-GB"/>
        </w:rPr>
        <w:t xml:space="preserve"> that</w:t>
      </w:r>
      <w:r w:rsidR="008272D0" w:rsidRPr="007C0F61">
        <w:rPr>
          <w:rFonts w:eastAsia="Times New Roman" w:cstheme="minorHAnsi"/>
          <w:sz w:val="20"/>
          <w:szCs w:val="20"/>
          <w:lang w:val="en-GB" w:eastAsia="en-GB"/>
        </w:rPr>
        <w:t>,</w:t>
      </w:r>
      <w:r w:rsidRPr="007C0F61">
        <w:rPr>
          <w:rFonts w:eastAsia="Times New Roman" w:cstheme="minorHAnsi"/>
          <w:sz w:val="20"/>
          <w:szCs w:val="20"/>
          <w:lang w:val="en-GB" w:eastAsia="en-GB"/>
        </w:rPr>
        <w:t xml:space="preserve"> </w:t>
      </w:r>
      <w:r w:rsidR="008272D0" w:rsidRPr="007C0F61">
        <w:rPr>
          <w:rFonts w:eastAsia="Times New Roman" w:cstheme="minorHAnsi"/>
          <w:sz w:val="20"/>
          <w:szCs w:val="20"/>
          <w:lang w:val="en-GB" w:eastAsia="en-GB"/>
        </w:rPr>
        <w:t xml:space="preserve">after controlling for </w:t>
      </w:r>
      <w:r w:rsidR="00C17C31" w:rsidRPr="007C0F61">
        <w:rPr>
          <w:rFonts w:eastAsia="Times New Roman" w:cstheme="minorHAnsi"/>
          <w:sz w:val="20"/>
          <w:szCs w:val="20"/>
          <w:lang w:val="en-GB" w:eastAsia="en-GB"/>
        </w:rPr>
        <w:t>loan-to-value, other</w:t>
      </w:r>
      <w:r w:rsidR="008272D0" w:rsidRPr="007C0F61">
        <w:rPr>
          <w:rFonts w:eastAsia="Times New Roman" w:cstheme="minorHAnsi"/>
          <w:sz w:val="20"/>
          <w:szCs w:val="20"/>
          <w:lang w:val="en-GB" w:eastAsia="en-GB"/>
        </w:rPr>
        <w:t xml:space="preserve"> </w:t>
      </w:r>
      <w:r w:rsidR="00C17C31" w:rsidRPr="007C0F61">
        <w:rPr>
          <w:rFonts w:eastAsia="Times New Roman" w:cstheme="minorHAnsi"/>
          <w:sz w:val="20"/>
          <w:szCs w:val="20"/>
          <w:lang w:val="en-GB" w:eastAsia="en-GB"/>
        </w:rPr>
        <w:t>obligations, marital status and credit guidelines</w:t>
      </w:r>
      <w:r w:rsidR="00F8406A" w:rsidRPr="007C0F61">
        <w:rPr>
          <w:rFonts w:eastAsia="Times New Roman" w:cstheme="minorHAnsi"/>
          <w:sz w:val="20"/>
          <w:szCs w:val="20"/>
          <w:lang w:val="en-GB" w:eastAsia="en-GB"/>
        </w:rPr>
        <w:t>,</w:t>
      </w:r>
      <w:r w:rsidR="0016465F">
        <w:rPr>
          <w:rFonts w:eastAsia="Times New Roman" w:cstheme="minorHAnsi"/>
          <w:sz w:val="20"/>
          <w:szCs w:val="20"/>
          <w:lang w:val="en-GB" w:eastAsia="en-GB"/>
        </w:rPr>
        <w:t xml:space="preserve"> Whites are </w:t>
      </w:r>
      <w:r w:rsidR="0016465F" w:rsidRPr="00B428BE">
        <w:rPr>
          <w:rFonts w:eastAsia="Times New Roman" w:cstheme="minorHAnsi"/>
          <w:sz w:val="20"/>
          <w:szCs w:val="20"/>
          <w:lang w:eastAsia="en-GB"/>
        </w:rPr>
        <w:t>favo</w:t>
      </w:r>
      <w:r w:rsidR="00C17C31" w:rsidRPr="00B428BE">
        <w:rPr>
          <w:rFonts w:eastAsia="Times New Roman" w:cstheme="minorHAnsi"/>
          <w:sz w:val="20"/>
          <w:szCs w:val="20"/>
          <w:lang w:eastAsia="en-GB"/>
        </w:rPr>
        <w:t>red</w:t>
      </w:r>
      <w:r w:rsidR="00C17C31" w:rsidRPr="007C0F61">
        <w:rPr>
          <w:rFonts w:eastAsia="Times New Roman" w:cstheme="minorHAnsi"/>
          <w:sz w:val="20"/>
          <w:szCs w:val="20"/>
          <w:lang w:val="en-GB" w:eastAsia="en-GB"/>
        </w:rPr>
        <w:t xml:space="preserve"> most in loan approval while </w:t>
      </w:r>
      <w:r w:rsidR="00B428BE">
        <w:rPr>
          <w:rFonts w:eastAsia="Times New Roman" w:cstheme="minorHAnsi"/>
          <w:sz w:val="20"/>
          <w:szCs w:val="20"/>
          <w:lang w:val="en-GB" w:eastAsia="en-GB"/>
        </w:rPr>
        <w:t xml:space="preserve">a </w:t>
      </w:r>
      <w:r w:rsidR="00C17C31" w:rsidRPr="007C0F61">
        <w:rPr>
          <w:rFonts w:eastAsia="Times New Roman" w:cstheme="minorHAnsi"/>
          <w:sz w:val="20"/>
          <w:szCs w:val="20"/>
          <w:lang w:val="en-GB" w:eastAsia="en-GB"/>
        </w:rPr>
        <w:t>higher percentage of Black and Hispanic applicants are denied the same.</w:t>
      </w:r>
      <w:r w:rsidR="00F8406A" w:rsidRPr="007C0F61">
        <w:rPr>
          <w:rFonts w:eastAsia="Times New Roman" w:cstheme="minorHAnsi"/>
          <w:sz w:val="20"/>
          <w:szCs w:val="20"/>
          <w:lang w:val="en-GB" w:eastAsia="en-GB"/>
        </w:rPr>
        <w:t xml:space="preserve"> We also find</w:t>
      </w:r>
      <w:r w:rsidR="00AD1E73" w:rsidRPr="007C0F61">
        <w:rPr>
          <w:rFonts w:eastAsia="Times New Roman" w:cstheme="minorHAnsi"/>
          <w:sz w:val="20"/>
          <w:szCs w:val="20"/>
          <w:lang w:val="en-GB" w:eastAsia="en-GB"/>
        </w:rPr>
        <w:t xml:space="preserve"> evidence of racial discrimination even </w:t>
      </w:r>
      <w:r w:rsidR="005478C3" w:rsidRPr="007C0F61">
        <w:rPr>
          <w:rFonts w:eastAsia="Times New Roman" w:cstheme="minorHAnsi"/>
          <w:sz w:val="20"/>
          <w:szCs w:val="20"/>
          <w:lang w:val="en-GB" w:eastAsia="en-GB"/>
        </w:rPr>
        <w:t>within</w:t>
      </w:r>
      <w:r w:rsidR="00AD1E73" w:rsidRPr="007C0F61">
        <w:rPr>
          <w:rFonts w:eastAsia="Times New Roman" w:cstheme="minorHAnsi"/>
          <w:sz w:val="20"/>
          <w:szCs w:val="20"/>
          <w:lang w:val="en-GB" w:eastAsia="en-GB"/>
        </w:rPr>
        <w:t xml:space="preserve"> various </w:t>
      </w:r>
      <w:r w:rsidR="00837407" w:rsidRPr="007C0F61">
        <w:rPr>
          <w:rFonts w:eastAsia="Times New Roman" w:cstheme="minorHAnsi"/>
          <w:sz w:val="20"/>
          <w:szCs w:val="20"/>
          <w:lang w:val="en-GB" w:eastAsia="en-GB"/>
        </w:rPr>
        <w:t>loan applicant</w:t>
      </w:r>
      <w:r w:rsidR="00F8406A" w:rsidRPr="007C0F61">
        <w:rPr>
          <w:rFonts w:eastAsia="Times New Roman" w:cstheme="minorHAnsi"/>
          <w:sz w:val="20"/>
          <w:szCs w:val="20"/>
          <w:lang w:val="en-GB" w:eastAsia="en-GB"/>
        </w:rPr>
        <w:t>’s</w:t>
      </w:r>
      <w:r w:rsidR="00837407" w:rsidRPr="007C0F61">
        <w:rPr>
          <w:rFonts w:eastAsia="Times New Roman" w:cstheme="minorHAnsi"/>
          <w:sz w:val="20"/>
          <w:szCs w:val="20"/>
          <w:lang w:val="en-GB" w:eastAsia="en-GB"/>
        </w:rPr>
        <w:t xml:space="preserve"> </w:t>
      </w:r>
      <w:r w:rsidR="00AD1E73" w:rsidRPr="007C0F61">
        <w:rPr>
          <w:rFonts w:eastAsia="Times New Roman" w:cstheme="minorHAnsi"/>
          <w:sz w:val="20"/>
          <w:szCs w:val="20"/>
          <w:lang w:val="en-GB" w:eastAsia="en-GB"/>
        </w:rPr>
        <w:t>characteristics.</w:t>
      </w:r>
    </w:p>
    <w:p w14:paraId="2CFC3B89" w14:textId="1220011E" w:rsidR="00F05C15" w:rsidRPr="007C0F61" w:rsidRDefault="00F05C15" w:rsidP="000855F0">
      <w:pPr>
        <w:pStyle w:val="NoSpacing"/>
        <w:jc w:val="both"/>
        <w:rPr>
          <w:rFonts w:eastAsia="Times New Roman" w:cstheme="minorHAnsi"/>
          <w:sz w:val="20"/>
          <w:szCs w:val="20"/>
          <w:lang w:val="en-GB" w:eastAsia="en-GB"/>
        </w:rPr>
      </w:pPr>
    </w:p>
    <w:p w14:paraId="2A1C413F" w14:textId="56D33090" w:rsidR="0099210A" w:rsidRPr="007C0F61" w:rsidRDefault="00AA7A32" w:rsidP="005334E3">
      <w:pPr>
        <w:pStyle w:val="NoSpacing"/>
        <w:jc w:val="both"/>
        <w:rPr>
          <w:rFonts w:eastAsia="Times New Roman" w:cstheme="minorHAnsi"/>
          <w:sz w:val="20"/>
          <w:szCs w:val="20"/>
          <w:lang w:val="en-GB" w:eastAsia="en-GB"/>
        </w:rPr>
      </w:pPr>
      <w:r w:rsidRPr="007C0F61">
        <w:rPr>
          <w:rFonts w:eastAsia="Times New Roman" w:cstheme="minorHAnsi"/>
          <w:sz w:val="20"/>
          <w:szCs w:val="20"/>
          <w:lang w:val="en-GB" w:eastAsia="en-GB"/>
        </w:rPr>
        <w:t xml:space="preserve">The extent of racial discrimination in Mortgage Lending practices is not fully explained by our research owing to missing specification </w:t>
      </w:r>
      <w:r w:rsidR="007C76CF" w:rsidRPr="007C0F61">
        <w:rPr>
          <w:rFonts w:eastAsia="Times New Roman" w:cstheme="minorHAnsi"/>
          <w:sz w:val="20"/>
          <w:szCs w:val="20"/>
          <w:lang w:val="en-GB" w:eastAsia="en-GB"/>
        </w:rPr>
        <w:t xml:space="preserve">like applicant’s education level, </w:t>
      </w:r>
      <w:r w:rsidR="00210FB7" w:rsidRPr="007C0F61">
        <w:rPr>
          <w:rFonts w:eastAsia="Times New Roman" w:cstheme="minorHAnsi"/>
          <w:sz w:val="20"/>
          <w:szCs w:val="20"/>
          <w:lang w:val="en-GB" w:eastAsia="en-GB"/>
        </w:rPr>
        <w:t xml:space="preserve">age, </w:t>
      </w:r>
      <w:r w:rsidR="007C76CF" w:rsidRPr="007C0F61">
        <w:rPr>
          <w:rFonts w:eastAsia="Times New Roman" w:cstheme="minorHAnsi"/>
          <w:sz w:val="20"/>
          <w:szCs w:val="20"/>
          <w:lang w:val="en-GB" w:eastAsia="en-GB"/>
        </w:rPr>
        <w:t xml:space="preserve">family size, </w:t>
      </w:r>
      <w:r w:rsidR="00210FB7" w:rsidRPr="007C0F61">
        <w:rPr>
          <w:rFonts w:eastAsia="Times New Roman" w:cstheme="minorHAnsi"/>
          <w:sz w:val="20"/>
          <w:szCs w:val="20"/>
          <w:lang w:val="en-GB" w:eastAsia="en-GB"/>
        </w:rPr>
        <w:t xml:space="preserve">income stability, </w:t>
      </w:r>
      <w:r w:rsidR="007C76CF" w:rsidRPr="007C0F61">
        <w:rPr>
          <w:rFonts w:eastAsia="Times New Roman" w:cstheme="minorHAnsi"/>
          <w:sz w:val="20"/>
          <w:szCs w:val="20"/>
          <w:lang w:val="en-GB" w:eastAsia="en-GB"/>
        </w:rPr>
        <w:t xml:space="preserve">property location, loan term and loan type – fixed or floating etc. that can have </w:t>
      </w:r>
      <w:r w:rsidR="00B428BE">
        <w:rPr>
          <w:rFonts w:eastAsia="Times New Roman" w:cstheme="minorHAnsi"/>
          <w:sz w:val="20"/>
          <w:szCs w:val="20"/>
          <w:lang w:val="en-GB" w:eastAsia="en-GB"/>
        </w:rPr>
        <w:t xml:space="preserve">a </w:t>
      </w:r>
      <w:r w:rsidR="007C76CF" w:rsidRPr="007C0F61">
        <w:rPr>
          <w:rFonts w:eastAsia="Times New Roman" w:cstheme="minorHAnsi"/>
          <w:sz w:val="20"/>
          <w:szCs w:val="20"/>
          <w:lang w:val="en-GB" w:eastAsia="en-GB"/>
        </w:rPr>
        <w:t xml:space="preserve">major impact on the loan approval. </w:t>
      </w:r>
      <w:r w:rsidR="00B428BE">
        <w:rPr>
          <w:rFonts w:eastAsia="Times New Roman" w:cstheme="minorHAnsi"/>
          <w:sz w:val="20"/>
          <w:szCs w:val="20"/>
          <w:lang w:val="en-GB" w:eastAsia="en-GB"/>
        </w:rPr>
        <w:t>We find our initial belief</w:t>
      </w:r>
      <w:r w:rsidR="0077159C" w:rsidRPr="007C0F61">
        <w:rPr>
          <w:rFonts w:eastAsia="Times New Roman" w:cstheme="minorHAnsi"/>
          <w:sz w:val="20"/>
          <w:szCs w:val="20"/>
          <w:lang w:val="en-GB" w:eastAsia="en-GB"/>
        </w:rPr>
        <w:t xml:space="preserve">s of </w:t>
      </w:r>
      <w:r w:rsidR="00A711C1" w:rsidRPr="007C0F61">
        <w:rPr>
          <w:rFonts w:eastAsia="Times New Roman" w:cstheme="minorHAnsi"/>
          <w:sz w:val="20"/>
          <w:szCs w:val="20"/>
          <w:lang w:val="en-GB" w:eastAsia="en-GB"/>
        </w:rPr>
        <w:t>racial discrimination</w:t>
      </w:r>
      <w:r w:rsidR="0077159C" w:rsidRPr="007C0F61">
        <w:rPr>
          <w:rFonts w:eastAsia="Times New Roman" w:cstheme="minorHAnsi"/>
          <w:sz w:val="20"/>
          <w:szCs w:val="20"/>
          <w:lang w:val="en-GB" w:eastAsia="en-GB"/>
        </w:rPr>
        <w:t xml:space="preserve"> in US </w:t>
      </w:r>
      <w:r w:rsidR="00A711C1" w:rsidRPr="007C0F61">
        <w:rPr>
          <w:rFonts w:eastAsia="Times New Roman" w:cstheme="minorHAnsi"/>
          <w:sz w:val="20"/>
          <w:szCs w:val="20"/>
          <w:lang w:val="en-GB" w:eastAsia="en-GB"/>
        </w:rPr>
        <w:t xml:space="preserve">mortgage Lending Practices </w:t>
      </w:r>
      <w:r w:rsidR="0077159C" w:rsidRPr="007C0F61">
        <w:rPr>
          <w:rFonts w:eastAsia="Times New Roman" w:cstheme="minorHAnsi"/>
          <w:sz w:val="20"/>
          <w:szCs w:val="20"/>
          <w:lang w:val="en-GB" w:eastAsia="en-GB"/>
        </w:rPr>
        <w:t>to be valid from this study (</w:t>
      </w:r>
      <w:r w:rsidR="0077159C" w:rsidRPr="007C0F61">
        <w:rPr>
          <w:rFonts w:cstheme="minorHAnsi"/>
          <w:sz w:val="20"/>
          <w:szCs w:val="20"/>
        </w:rPr>
        <w:t xml:space="preserve">statistically significant </w:t>
      </w:r>
      <w:r w:rsidR="00A711C1" w:rsidRPr="007C0F61">
        <w:rPr>
          <w:rFonts w:cstheme="minorHAnsi"/>
          <w:sz w:val="20"/>
          <w:szCs w:val="20"/>
        </w:rPr>
        <w:t xml:space="preserve">results </w:t>
      </w:r>
      <w:r w:rsidR="0077159C" w:rsidRPr="007C0F61">
        <w:rPr>
          <w:rFonts w:cstheme="minorHAnsi"/>
          <w:sz w:val="20"/>
          <w:szCs w:val="20"/>
        </w:rPr>
        <w:t>and viable</w:t>
      </w:r>
      <w:r w:rsidR="00A711C1" w:rsidRPr="007C0F61">
        <w:rPr>
          <w:rFonts w:cstheme="minorHAnsi"/>
          <w:sz w:val="20"/>
          <w:szCs w:val="20"/>
        </w:rPr>
        <w:t xml:space="preserve"> probabilities</w:t>
      </w:r>
      <w:r w:rsidR="0077159C" w:rsidRPr="007C0F61">
        <w:rPr>
          <w:rFonts w:cstheme="minorHAnsi"/>
          <w:sz w:val="20"/>
          <w:szCs w:val="20"/>
        </w:rPr>
        <w:t>).</w:t>
      </w:r>
    </w:p>
    <w:p w14:paraId="7FE00586" w14:textId="77777777" w:rsidR="00A02560" w:rsidRPr="001C401B" w:rsidRDefault="00A02560" w:rsidP="00A02560">
      <w:pPr>
        <w:pStyle w:val="Heading1"/>
        <w:numPr>
          <w:ilvl w:val="0"/>
          <w:numId w:val="2"/>
        </w:numPr>
        <w:jc w:val="both"/>
        <w:rPr>
          <w:rFonts w:asciiTheme="minorHAnsi" w:hAnsiTheme="minorHAnsi" w:cstheme="minorHAnsi"/>
        </w:rPr>
      </w:pPr>
      <w:r w:rsidRPr="001C401B">
        <w:rPr>
          <w:rFonts w:asciiTheme="minorHAnsi" w:hAnsiTheme="minorHAnsi" w:cstheme="minorHAnsi"/>
        </w:rPr>
        <w:t>References</w:t>
      </w:r>
    </w:p>
    <w:p w14:paraId="076D5FEA" w14:textId="605DB3BB" w:rsidR="002370AB" w:rsidRPr="007C0F61" w:rsidRDefault="002370AB" w:rsidP="00A02560">
      <w:pPr>
        <w:rPr>
          <w:rFonts w:asciiTheme="minorHAnsi" w:hAnsiTheme="minorHAnsi" w:cstheme="minorHAnsi"/>
          <w:sz w:val="20"/>
          <w:szCs w:val="20"/>
        </w:rPr>
      </w:pPr>
    </w:p>
    <w:p w14:paraId="60EA52CC" w14:textId="08C88553" w:rsidR="00D541EF" w:rsidRPr="007C0F61" w:rsidRDefault="00A02560" w:rsidP="001F43A5">
      <w:pPr>
        <w:rPr>
          <w:rFonts w:asciiTheme="minorHAnsi" w:hAnsiTheme="minorHAnsi" w:cstheme="minorHAnsi"/>
          <w:sz w:val="20"/>
          <w:szCs w:val="20"/>
        </w:rPr>
      </w:pPr>
      <w:r w:rsidRPr="007C0F61">
        <w:rPr>
          <w:rFonts w:asciiTheme="minorHAnsi" w:hAnsiTheme="minorHAnsi" w:cstheme="minorHAnsi"/>
          <w:sz w:val="20"/>
          <w:szCs w:val="20"/>
        </w:rPr>
        <w:t>[1]</w:t>
      </w:r>
      <w:r w:rsidR="00D541EF" w:rsidRPr="007C0F61">
        <w:rPr>
          <w:rFonts w:asciiTheme="minorHAnsi" w:hAnsiTheme="minorHAnsi" w:cstheme="minorHAnsi"/>
          <w:sz w:val="20"/>
          <w:szCs w:val="20"/>
        </w:rPr>
        <w:t xml:space="preserve"> </w:t>
      </w:r>
      <w:r w:rsidR="00714F86" w:rsidRPr="007C0F61">
        <w:rPr>
          <w:rFonts w:asciiTheme="minorHAnsi" w:hAnsiTheme="minorHAnsi" w:cstheme="minorHAnsi"/>
          <w:sz w:val="20"/>
          <w:szCs w:val="20"/>
        </w:rPr>
        <w:t>https://www.census.gov/data/tables/time-series/dec/coh-owner.html; https://www.census.gov/hhes/www/housing/census/historic/ownrate.html</w:t>
      </w:r>
    </w:p>
    <w:p w14:paraId="48318E1D" w14:textId="47D7DF4E" w:rsidR="00D541EF" w:rsidRPr="007C0F61" w:rsidRDefault="00A02560" w:rsidP="00A02560">
      <w:pPr>
        <w:rPr>
          <w:rFonts w:asciiTheme="minorHAnsi" w:hAnsiTheme="minorHAnsi" w:cstheme="minorHAnsi"/>
          <w:sz w:val="20"/>
          <w:szCs w:val="20"/>
        </w:rPr>
      </w:pPr>
      <w:r w:rsidRPr="007C0F61">
        <w:rPr>
          <w:rFonts w:asciiTheme="minorHAnsi" w:hAnsiTheme="minorHAnsi" w:cstheme="minorHAnsi"/>
          <w:sz w:val="20"/>
          <w:szCs w:val="20"/>
        </w:rPr>
        <w:t>[2]</w:t>
      </w:r>
      <w:r w:rsidR="00D541EF" w:rsidRPr="007C0F61">
        <w:rPr>
          <w:rFonts w:asciiTheme="minorHAnsi" w:hAnsiTheme="minorHAnsi" w:cstheme="minorHAnsi"/>
          <w:sz w:val="20"/>
          <w:szCs w:val="20"/>
        </w:rPr>
        <w:t xml:space="preserve"> http://citeseerx.ist.psu.edu/viewdoc/download?doi=10.1.1.489.6540&amp;rep=rep1&amp;type=pdf</w:t>
      </w:r>
      <w:r w:rsidRPr="007C0F61">
        <w:rPr>
          <w:rFonts w:asciiTheme="minorHAnsi" w:hAnsiTheme="minorHAnsi" w:cstheme="minorHAnsi"/>
          <w:sz w:val="20"/>
          <w:szCs w:val="20"/>
        </w:rPr>
        <w:t xml:space="preserve"> </w:t>
      </w:r>
    </w:p>
    <w:p w14:paraId="5B2A4683" w14:textId="438298C6" w:rsidR="00A02560" w:rsidRPr="007C0F61" w:rsidRDefault="00A02560" w:rsidP="00A02560">
      <w:pPr>
        <w:rPr>
          <w:rFonts w:asciiTheme="minorHAnsi" w:hAnsiTheme="minorHAnsi" w:cstheme="minorHAnsi"/>
          <w:sz w:val="20"/>
          <w:szCs w:val="20"/>
        </w:rPr>
      </w:pPr>
      <w:r w:rsidRPr="007C0F61">
        <w:rPr>
          <w:rFonts w:asciiTheme="minorHAnsi" w:hAnsiTheme="minorHAnsi" w:cstheme="minorHAnsi"/>
          <w:sz w:val="20"/>
          <w:szCs w:val="20"/>
        </w:rPr>
        <w:t xml:space="preserve">[3] </w:t>
      </w:r>
      <w:r w:rsidR="00B564C6" w:rsidRPr="007C0F61">
        <w:rPr>
          <w:rFonts w:asciiTheme="minorHAnsi" w:hAnsiTheme="minorHAnsi" w:cstheme="minorHAnsi"/>
          <w:sz w:val="20"/>
          <w:szCs w:val="20"/>
        </w:rPr>
        <w:t>https://www.urban.org/sites/default/files/publication/33501/2000031-A-Better-Measure-of-Mortgage-Application-Denial-Rates.pdf</w:t>
      </w:r>
    </w:p>
    <w:p w14:paraId="732FFB23" w14:textId="12C25019" w:rsidR="00BE0D02" w:rsidRPr="007C0F61" w:rsidRDefault="00B564C6" w:rsidP="00BE0D02">
      <w:pPr>
        <w:rPr>
          <w:rFonts w:asciiTheme="minorHAnsi" w:hAnsiTheme="minorHAnsi" w:cstheme="minorHAnsi"/>
          <w:sz w:val="20"/>
          <w:szCs w:val="20"/>
        </w:rPr>
      </w:pPr>
      <w:r w:rsidRPr="007C0F61">
        <w:rPr>
          <w:rFonts w:asciiTheme="minorHAnsi" w:hAnsiTheme="minorHAnsi" w:cstheme="minorHAnsi"/>
          <w:sz w:val="20"/>
          <w:szCs w:val="20"/>
        </w:rPr>
        <w:t>[4]</w:t>
      </w:r>
      <w:r w:rsidR="00BE0D02" w:rsidRPr="007C0F61">
        <w:rPr>
          <w:rFonts w:asciiTheme="minorHAnsi" w:hAnsiTheme="minorHAnsi" w:cstheme="minorHAnsi"/>
          <w:sz w:val="20"/>
          <w:szCs w:val="20"/>
        </w:rPr>
        <w:t xml:space="preserve"> https://www.ffiec.gov/hmcrpr/hmda03.pdf#table1</w:t>
      </w:r>
    </w:p>
    <w:p w14:paraId="2025F28D" w14:textId="23FB1D4D" w:rsidR="00B564C6" w:rsidRPr="007C0F61" w:rsidRDefault="00B564C6" w:rsidP="00A02560">
      <w:pPr>
        <w:rPr>
          <w:rFonts w:asciiTheme="minorHAnsi" w:hAnsiTheme="minorHAnsi" w:cstheme="minorHAnsi"/>
          <w:sz w:val="20"/>
          <w:szCs w:val="20"/>
        </w:rPr>
      </w:pPr>
    </w:p>
    <w:p w14:paraId="73A0FD73" w14:textId="02282429" w:rsidR="0099210A" w:rsidRPr="007C0F61" w:rsidRDefault="0099210A" w:rsidP="00CA6937">
      <w:pPr>
        <w:jc w:val="both"/>
        <w:rPr>
          <w:rFonts w:asciiTheme="minorHAnsi" w:hAnsiTheme="minorHAnsi" w:cstheme="minorHAnsi"/>
          <w:sz w:val="20"/>
          <w:szCs w:val="20"/>
        </w:rPr>
      </w:pPr>
      <w:bookmarkStart w:id="0" w:name="_GoBack"/>
      <w:bookmarkEnd w:id="0"/>
    </w:p>
    <w:p w14:paraId="58FFE447" w14:textId="6BE55827" w:rsidR="0099210A" w:rsidRPr="007C0F61" w:rsidRDefault="0099210A" w:rsidP="00CA6937">
      <w:pPr>
        <w:jc w:val="both"/>
        <w:rPr>
          <w:rFonts w:asciiTheme="minorHAnsi" w:hAnsiTheme="minorHAnsi" w:cstheme="minorHAnsi"/>
          <w:sz w:val="20"/>
          <w:szCs w:val="20"/>
        </w:rPr>
      </w:pPr>
    </w:p>
    <w:p w14:paraId="45C5ED64" w14:textId="719646A8" w:rsidR="00F12F2C" w:rsidRPr="007C0F61" w:rsidRDefault="00F12F2C" w:rsidP="00CA6937">
      <w:pPr>
        <w:jc w:val="both"/>
        <w:rPr>
          <w:rFonts w:asciiTheme="minorHAnsi" w:hAnsiTheme="minorHAnsi" w:cstheme="minorHAnsi"/>
          <w:sz w:val="20"/>
          <w:szCs w:val="20"/>
        </w:rPr>
      </w:pPr>
    </w:p>
    <w:sectPr w:rsidR="00F12F2C" w:rsidRPr="007C0F61" w:rsidSect="008073CF">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2F3F4" w14:textId="77777777" w:rsidR="005C6F8C" w:rsidRDefault="005C6F8C" w:rsidP="00E66878">
      <w:r>
        <w:separator/>
      </w:r>
    </w:p>
  </w:endnote>
  <w:endnote w:type="continuationSeparator" w:id="0">
    <w:p w14:paraId="55B9A94A" w14:textId="77777777" w:rsidR="005C6F8C" w:rsidRDefault="005C6F8C" w:rsidP="00E6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00937" w14:textId="48A65303" w:rsidR="005334E3" w:rsidRDefault="005334E3" w:rsidP="005334E3">
    <w:pPr>
      <w:pStyle w:val="Footer"/>
      <w:tabs>
        <w:tab w:val="clear" w:pos="4680"/>
        <w:tab w:val="clear" w:pos="9360"/>
        <w:tab w:val="left" w:pos="52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A7F07" w14:textId="77777777" w:rsidR="005C6F8C" w:rsidRDefault="005C6F8C" w:rsidP="00E66878">
      <w:r>
        <w:separator/>
      </w:r>
    </w:p>
  </w:footnote>
  <w:footnote w:type="continuationSeparator" w:id="0">
    <w:p w14:paraId="62E47347" w14:textId="77777777" w:rsidR="005C6F8C" w:rsidRDefault="005C6F8C" w:rsidP="00E66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4B21"/>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A5B8A"/>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C4DE4"/>
    <w:multiLevelType w:val="hybridMultilevel"/>
    <w:tmpl w:val="C8E6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76E6"/>
    <w:multiLevelType w:val="hybridMultilevel"/>
    <w:tmpl w:val="57F4C08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0C152D35"/>
    <w:multiLevelType w:val="hybridMultilevel"/>
    <w:tmpl w:val="0A0A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B03AC2"/>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6A5C9D"/>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285A38"/>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07D67"/>
    <w:multiLevelType w:val="hybridMultilevel"/>
    <w:tmpl w:val="740EA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3B267D"/>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EE1997"/>
    <w:multiLevelType w:val="hybridMultilevel"/>
    <w:tmpl w:val="8976E6D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4419B6"/>
    <w:multiLevelType w:val="hybridMultilevel"/>
    <w:tmpl w:val="740EA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E1701D"/>
    <w:multiLevelType w:val="hybridMultilevel"/>
    <w:tmpl w:val="DCEAA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D603B"/>
    <w:multiLevelType w:val="hybridMultilevel"/>
    <w:tmpl w:val="EA30E4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4" w15:restartNumberingAfterBreak="0">
    <w:nsid w:val="55DE5FD4"/>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F5685"/>
    <w:multiLevelType w:val="hybridMultilevel"/>
    <w:tmpl w:val="DCEAA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ED3F9C"/>
    <w:multiLevelType w:val="hybridMultilevel"/>
    <w:tmpl w:val="10EC8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AD1A89"/>
    <w:multiLevelType w:val="hybridMultilevel"/>
    <w:tmpl w:val="6490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DC3771"/>
    <w:multiLevelType w:val="hybridMultilevel"/>
    <w:tmpl w:val="92FA2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134138"/>
    <w:multiLevelType w:val="hybridMultilevel"/>
    <w:tmpl w:val="DCEAA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5"/>
  </w:num>
  <w:num w:numId="4">
    <w:abstractNumId w:val="1"/>
  </w:num>
  <w:num w:numId="5">
    <w:abstractNumId w:val="14"/>
  </w:num>
  <w:num w:numId="6">
    <w:abstractNumId w:val="7"/>
  </w:num>
  <w:num w:numId="7">
    <w:abstractNumId w:val="0"/>
  </w:num>
  <w:num w:numId="8">
    <w:abstractNumId w:val="6"/>
  </w:num>
  <w:num w:numId="9">
    <w:abstractNumId w:val="9"/>
  </w:num>
  <w:num w:numId="10">
    <w:abstractNumId w:val="18"/>
  </w:num>
  <w:num w:numId="11">
    <w:abstractNumId w:val="2"/>
  </w:num>
  <w:num w:numId="12">
    <w:abstractNumId w:val="10"/>
  </w:num>
  <w:num w:numId="13">
    <w:abstractNumId w:val="11"/>
  </w:num>
  <w:num w:numId="14">
    <w:abstractNumId w:val="13"/>
  </w:num>
  <w:num w:numId="15">
    <w:abstractNumId w:val="17"/>
  </w:num>
  <w:num w:numId="16">
    <w:abstractNumId w:val="4"/>
  </w:num>
  <w:num w:numId="17">
    <w:abstractNumId w:val="3"/>
  </w:num>
  <w:num w:numId="18">
    <w:abstractNumId w:val="8"/>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035"/>
    <w:rsid w:val="00000A90"/>
    <w:rsid w:val="0000113B"/>
    <w:rsid w:val="00003E34"/>
    <w:rsid w:val="000057A9"/>
    <w:rsid w:val="00010683"/>
    <w:rsid w:val="0001107C"/>
    <w:rsid w:val="00016589"/>
    <w:rsid w:val="000173B5"/>
    <w:rsid w:val="00020D14"/>
    <w:rsid w:val="00023273"/>
    <w:rsid w:val="000240FC"/>
    <w:rsid w:val="00026E73"/>
    <w:rsid w:val="00030CC0"/>
    <w:rsid w:val="000349AD"/>
    <w:rsid w:val="00040D19"/>
    <w:rsid w:val="0004104F"/>
    <w:rsid w:val="000449A4"/>
    <w:rsid w:val="0006290F"/>
    <w:rsid w:val="000701EA"/>
    <w:rsid w:val="0007545B"/>
    <w:rsid w:val="00077414"/>
    <w:rsid w:val="0008031D"/>
    <w:rsid w:val="00080EB2"/>
    <w:rsid w:val="0008121C"/>
    <w:rsid w:val="00084424"/>
    <w:rsid w:val="0008553B"/>
    <w:rsid w:val="000855F0"/>
    <w:rsid w:val="0009054C"/>
    <w:rsid w:val="0009703A"/>
    <w:rsid w:val="000A028A"/>
    <w:rsid w:val="000A6936"/>
    <w:rsid w:val="000B2D6A"/>
    <w:rsid w:val="000B3106"/>
    <w:rsid w:val="000C03AB"/>
    <w:rsid w:val="000C13EA"/>
    <w:rsid w:val="000D43A3"/>
    <w:rsid w:val="000D53BD"/>
    <w:rsid w:val="000E0E94"/>
    <w:rsid w:val="000E4F8A"/>
    <w:rsid w:val="000F0716"/>
    <w:rsid w:val="000F3C4E"/>
    <w:rsid w:val="000F4A56"/>
    <w:rsid w:val="00100C03"/>
    <w:rsid w:val="00105684"/>
    <w:rsid w:val="00113535"/>
    <w:rsid w:val="00120C6F"/>
    <w:rsid w:val="00121AE2"/>
    <w:rsid w:val="00123571"/>
    <w:rsid w:val="001239FE"/>
    <w:rsid w:val="001242DE"/>
    <w:rsid w:val="00124B51"/>
    <w:rsid w:val="001342D6"/>
    <w:rsid w:val="00136629"/>
    <w:rsid w:val="00142802"/>
    <w:rsid w:val="00146AD9"/>
    <w:rsid w:val="00147A3D"/>
    <w:rsid w:val="0016465F"/>
    <w:rsid w:val="00165168"/>
    <w:rsid w:val="001666C2"/>
    <w:rsid w:val="00166A2F"/>
    <w:rsid w:val="00171C3C"/>
    <w:rsid w:val="00174FB9"/>
    <w:rsid w:val="0018185D"/>
    <w:rsid w:val="00183A65"/>
    <w:rsid w:val="00183BE5"/>
    <w:rsid w:val="00184D55"/>
    <w:rsid w:val="00196239"/>
    <w:rsid w:val="001A05C2"/>
    <w:rsid w:val="001A4CEE"/>
    <w:rsid w:val="001A64E6"/>
    <w:rsid w:val="001A7726"/>
    <w:rsid w:val="001A7D00"/>
    <w:rsid w:val="001B0E2F"/>
    <w:rsid w:val="001B30F2"/>
    <w:rsid w:val="001B3A8A"/>
    <w:rsid w:val="001B3D5D"/>
    <w:rsid w:val="001B46F1"/>
    <w:rsid w:val="001B4BA5"/>
    <w:rsid w:val="001B4FEA"/>
    <w:rsid w:val="001B64F5"/>
    <w:rsid w:val="001C2E76"/>
    <w:rsid w:val="001C3529"/>
    <w:rsid w:val="001C401B"/>
    <w:rsid w:val="001C4F95"/>
    <w:rsid w:val="001C63E8"/>
    <w:rsid w:val="001C66FE"/>
    <w:rsid w:val="001D1A69"/>
    <w:rsid w:val="001D20A6"/>
    <w:rsid w:val="001D3C5C"/>
    <w:rsid w:val="001D3E66"/>
    <w:rsid w:val="001E047B"/>
    <w:rsid w:val="001E7846"/>
    <w:rsid w:val="001F344A"/>
    <w:rsid w:val="001F382B"/>
    <w:rsid w:val="001F43A5"/>
    <w:rsid w:val="002029CE"/>
    <w:rsid w:val="00206ED4"/>
    <w:rsid w:val="00210FB7"/>
    <w:rsid w:val="00214F50"/>
    <w:rsid w:val="00217605"/>
    <w:rsid w:val="00224E78"/>
    <w:rsid w:val="002264A1"/>
    <w:rsid w:val="00227C03"/>
    <w:rsid w:val="00235DF9"/>
    <w:rsid w:val="00235F9D"/>
    <w:rsid w:val="00236456"/>
    <w:rsid w:val="002370AB"/>
    <w:rsid w:val="00242A17"/>
    <w:rsid w:val="002454A3"/>
    <w:rsid w:val="00250F3E"/>
    <w:rsid w:val="00251A05"/>
    <w:rsid w:val="00253533"/>
    <w:rsid w:val="00253C84"/>
    <w:rsid w:val="002562FF"/>
    <w:rsid w:val="00256562"/>
    <w:rsid w:val="00256950"/>
    <w:rsid w:val="0027136A"/>
    <w:rsid w:val="002720CF"/>
    <w:rsid w:val="0028094B"/>
    <w:rsid w:val="00282FF8"/>
    <w:rsid w:val="002928CE"/>
    <w:rsid w:val="002949AD"/>
    <w:rsid w:val="002B0B80"/>
    <w:rsid w:val="002B47E0"/>
    <w:rsid w:val="002C23E9"/>
    <w:rsid w:val="002D1AD8"/>
    <w:rsid w:val="002D3FD4"/>
    <w:rsid w:val="002D66F2"/>
    <w:rsid w:val="002D744B"/>
    <w:rsid w:val="002E05DD"/>
    <w:rsid w:val="002E52E2"/>
    <w:rsid w:val="002F03A4"/>
    <w:rsid w:val="002F0680"/>
    <w:rsid w:val="002F1F20"/>
    <w:rsid w:val="00301F5E"/>
    <w:rsid w:val="003032D3"/>
    <w:rsid w:val="00313CBC"/>
    <w:rsid w:val="00316607"/>
    <w:rsid w:val="00321D91"/>
    <w:rsid w:val="0032200D"/>
    <w:rsid w:val="00325BCB"/>
    <w:rsid w:val="0033030A"/>
    <w:rsid w:val="0033128A"/>
    <w:rsid w:val="00332A44"/>
    <w:rsid w:val="00340A79"/>
    <w:rsid w:val="003410EC"/>
    <w:rsid w:val="003424ED"/>
    <w:rsid w:val="00342B73"/>
    <w:rsid w:val="003469EA"/>
    <w:rsid w:val="00347401"/>
    <w:rsid w:val="003502DB"/>
    <w:rsid w:val="0035763F"/>
    <w:rsid w:val="003601F3"/>
    <w:rsid w:val="00360348"/>
    <w:rsid w:val="00361B92"/>
    <w:rsid w:val="003657DF"/>
    <w:rsid w:val="003674D5"/>
    <w:rsid w:val="00371BF0"/>
    <w:rsid w:val="00381343"/>
    <w:rsid w:val="00384125"/>
    <w:rsid w:val="00390454"/>
    <w:rsid w:val="003915A6"/>
    <w:rsid w:val="0039645E"/>
    <w:rsid w:val="003A01BB"/>
    <w:rsid w:val="003A6F3E"/>
    <w:rsid w:val="003B0E0C"/>
    <w:rsid w:val="003B2DEE"/>
    <w:rsid w:val="003B2F88"/>
    <w:rsid w:val="003C1F24"/>
    <w:rsid w:val="003C24EF"/>
    <w:rsid w:val="003C29A6"/>
    <w:rsid w:val="003C29EA"/>
    <w:rsid w:val="003C650F"/>
    <w:rsid w:val="003C7D8E"/>
    <w:rsid w:val="003D1802"/>
    <w:rsid w:val="003D247A"/>
    <w:rsid w:val="003D7638"/>
    <w:rsid w:val="003F0D5F"/>
    <w:rsid w:val="003F10B3"/>
    <w:rsid w:val="003F1C72"/>
    <w:rsid w:val="003F38B6"/>
    <w:rsid w:val="004016E5"/>
    <w:rsid w:val="00403442"/>
    <w:rsid w:val="004043E8"/>
    <w:rsid w:val="0041060F"/>
    <w:rsid w:val="00412EC1"/>
    <w:rsid w:val="004146AA"/>
    <w:rsid w:val="00415614"/>
    <w:rsid w:val="00422902"/>
    <w:rsid w:val="00427C7D"/>
    <w:rsid w:val="004338AD"/>
    <w:rsid w:val="00434CC0"/>
    <w:rsid w:val="00437A26"/>
    <w:rsid w:val="004413B4"/>
    <w:rsid w:val="00442D70"/>
    <w:rsid w:val="004449EE"/>
    <w:rsid w:val="00444C64"/>
    <w:rsid w:val="004517D5"/>
    <w:rsid w:val="004574AA"/>
    <w:rsid w:val="00462002"/>
    <w:rsid w:val="004705B9"/>
    <w:rsid w:val="00470E12"/>
    <w:rsid w:val="004744E7"/>
    <w:rsid w:val="00477EEE"/>
    <w:rsid w:val="00480FFE"/>
    <w:rsid w:val="00486A0A"/>
    <w:rsid w:val="00490168"/>
    <w:rsid w:val="00495627"/>
    <w:rsid w:val="004A33CA"/>
    <w:rsid w:val="004A5826"/>
    <w:rsid w:val="004B0741"/>
    <w:rsid w:val="004B1120"/>
    <w:rsid w:val="004B3CE5"/>
    <w:rsid w:val="004B43FF"/>
    <w:rsid w:val="004B6466"/>
    <w:rsid w:val="004B677F"/>
    <w:rsid w:val="004B7D6D"/>
    <w:rsid w:val="004C1B1A"/>
    <w:rsid w:val="004C1FC0"/>
    <w:rsid w:val="004D1CB2"/>
    <w:rsid w:val="004D27FD"/>
    <w:rsid w:val="004D617E"/>
    <w:rsid w:val="004D6556"/>
    <w:rsid w:val="004D7807"/>
    <w:rsid w:val="004E1779"/>
    <w:rsid w:val="004E1DF5"/>
    <w:rsid w:val="004E241E"/>
    <w:rsid w:val="004E75CC"/>
    <w:rsid w:val="004F22C5"/>
    <w:rsid w:val="004F7670"/>
    <w:rsid w:val="00502518"/>
    <w:rsid w:val="00503A6A"/>
    <w:rsid w:val="00507318"/>
    <w:rsid w:val="00510EB8"/>
    <w:rsid w:val="00511007"/>
    <w:rsid w:val="005110E6"/>
    <w:rsid w:val="005112FA"/>
    <w:rsid w:val="00514F30"/>
    <w:rsid w:val="00516B8D"/>
    <w:rsid w:val="00517C50"/>
    <w:rsid w:val="00521495"/>
    <w:rsid w:val="0052192C"/>
    <w:rsid w:val="00522819"/>
    <w:rsid w:val="00523B41"/>
    <w:rsid w:val="00523F5E"/>
    <w:rsid w:val="00525EA1"/>
    <w:rsid w:val="005302F5"/>
    <w:rsid w:val="00530D53"/>
    <w:rsid w:val="005325AE"/>
    <w:rsid w:val="005334E3"/>
    <w:rsid w:val="0054448D"/>
    <w:rsid w:val="0054484C"/>
    <w:rsid w:val="005478C3"/>
    <w:rsid w:val="00551E24"/>
    <w:rsid w:val="005555AD"/>
    <w:rsid w:val="00560B17"/>
    <w:rsid w:val="00561736"/>
    <w:rsid w:val="00562F4D"/>
    <w:rsid w:val="00567CCF"/>
    <w:rsid w:val="005712E6"/>
    <w:rsid w:val="00572FFF"/>
    <w:rsid w:val="00573474"/>
    <w:rsid w:val="00577083"/>
    <w:rsid w:val="0058114F"/>
    <w:rsid w:val="005818DE"/>
    <w:rsid w:val="00591DED"/>
    <w:rsid w:val="00595D66"/>
    <w:rsid w:val="005A082E"/>
    <w:rsid w:val="005A2C89"/>
    <w:rsid w:val="005A4129"/>
    <w:rsid w:val="005A575A"/>
    <w:rsid w:val="005A7B6A"/>
    <w:rsid w:val="005B0E84"/>
    <w:rsid w:val="005B300E"/>
    <w:rsid w:val="005B6134"/>
    <w:rsid w:val="005C3CAD"/>
    <w:rsid w:val="005C4FCF"/>
    <w:rsid w:val="005C6F8C"/>
    <w:rsid w:val="005D3088"/>
    <w:rsid w:val="005E4104"/>
    <w:rsid w:val="005E42D6"/>
    <w:rsid w:val="005E60DB"/>
    <w:rsid w:val="005F6D24"/>
    <w:rsid w:val="00605289"/>
    <w:rsid w:val="00612226"/>
    <w:rsid w:val="0061228F"/>
    <w:rsid w:val="00612D23"/>
    <w:rsid w:val="006148F3"/>
    <w:rsid w:val="00615F33"/>
    <w:rsid w:val="00617D6F"/>
    <w:rsid w:val="00621BC3"/>
    <w:rsid w:val="00630DE6"/>
    <w:rsid w:val="00631724"/>
    <w:rsid w:val="0063531A"/>
    <w:rsid w:val="0063687D"/>
    <w:rsid w:val="0064030B"/>
    <w:rsid w:val="00640EE2"/>
    <w:rsid w:val="006421DD"/>
    <w:rsid w:val="00643782"/>
    <w:rsid w:val="00644DB5"/>
    <w:rsid w:val="00645103"/>
    <w:rsid w:val="0064596F"/>
    <w:rsid w:val="00647BBF"/>
    <w:rsid w:val="00650E47"/>
    <w:rsid w:val="00653F71"/>
    <w:rsid w:val="00661F1A"/>
    <w:rsid w:val="006634D3"/>
    <w:rsid w:val="006640CD"/>
    <w:rsid w:val="00665D77"/>
    <w:rsid w:val="0066692E"/>
    <w:rsid w:val="00667B5C"/>
    <w:rsid w:val="00670BB6"/>
    <w:rsid w:val="0067446D"/>
    <w:rsid w:val="00675201"/>
    <w:rsid w:val="00676054"/>
    <w:rsid w:val="006777B7"/>
    <w:rsid w:val="00677F83"/>
    <w:rsid w:val="00681487"/>
    <w:rsid w:val="00683EDF"/>
    <w:rsid w:val="0069154B"/>
    <w:rsid w:val="0069215D"/>
    <w:rsid w:val="00696513"/>
    <w:rsid w:val="006A1D82"/>
    <w:rsid w:val="006A3C6A"/>
    <w:rsid w:val="006A4AFB"/>
    <w:rsid w:val="006A6281"/>
    <w:rsid w:val="006A78A4"/>
    <w:rsid w:val="006B01A8"/>
    <w:rsid w:val="006B1052"/>
    <w:rsid w:val="006B2D7B"/>
    <w:rsid w:val="006C189B"/>
    <w:rsid w:val="006C1AB3"/>
    <w:rsid w:val="006C4C35"/>
    <w:rsid w:val="006C5535"/>
    <w:rsid w:val="006C704D"/>
    <w:rsid w:val="006D4836"/>
    <w:rsid w:val="006D7D69"/>
    <w:rsid w:val="006E20D4"/>
    <w:rsid w:val="006E4E9E"/>
    <w:rsid w:val="006E55C3"/>
    <w:rsid w:val="006E6CD1"/>
    <w:rsid w:val="006F3E32"/>
    <w:rsid w:val="006F5ACD"/>
    <w:rsid w:val="006F5BC9"/>
    <w:rsid w:val="0070003B"/>
    <w:rsid w:val="00700924"/>
    <w:rsid w:val="00714F86"/>
    <w:rsid w:val="007173BF"/>
    <w:rsid w:val="0072297B"/>
    <w:rsid w:val="00723394"/>
    <w:rsid w:val="00727099"/>
    <w:rsid w:val="00730655"/>
    <w:rsid w:val="00732CBA"/>
    <w:rsid w:val="007334FB"/>
    <w:rsid w:val="00733B2D"/>
    <w:rsid w:val="00734DEF"/>
    <w:rsid w:val="0073607D"/>
    <w:rsid w:val="00740CBD"/>
    <w:rsid w:val="007449EE"/>
    <w:rsid w:val="0075005C"/>
    <w:rsid w:val="0075114D"/>
    <w:rsid w:val="00752C6D"/>
    <w:rsid w:val="00753298"/>
    <w:rsid w:val="007606CA"/>
    <w:rsid w:val="00761B18"/>
    <w:rsid w:val="007641C4"/>
    <w:rsid w:val="0077159C"/>
    <w:rsid w:val="007805DE"/>
    <w:rsid w:val="00783739"/>
    <w:rsid w:val="00787057"/>
    <w:rsid w:val="00790CDC"/>
    <w:rsid w:val="00791AFF"/>
    <w:rsid w:val="00796DA0"/>
    <w:rsid w:val="007A26D7"/>
    <w:rsid w:val="007A49A7"/>
    <w:rsid w:val="007A585B"/>
    <w:rsid w:val="007B36F4"/>
    <w:rsid w:val="007B3D0C"/>
    <w:rsid w:val="007B5F13"/>
    <w:rsid w:val="007B6E06"/>
    <w:rsid w:val="007C0F61"/>
    <w:rsid w:val="007C1343"/>
    <w:rsid w:val="007C2668"/>
    <w:rsid w:val="007C286C"/>
    <w:rsid w:val="007C30DA"/>
    <w:rsid w:val="007C51E2"/>
    <w:rsid w:val="007C6478"/>
    <w:rsid w:val="007C76CF"/>
    <w:rsid w:val="007D6E4D"/>
    <w:rsid w:val="007E4D9A"/>
    <w:rsid w:val="007E5CF2"/>
    <w:rsid w:val="007E7A52"/>
    <w:rsid w:val="007F08BA"/>
    <w:rsid w:val="007F32EA"/>
    <w:rsid w:val="007F426E"/>
    <w:rsid w:val="008031D5"/>
    <w:rsid w:val="00806BCC"/>
    <w:rsid w:val="008073CF"/>
    <w:rsid w:val="008103DB"/>
    <w:rsid w:val="0081414C"/>
    <w:rsid w:val="00816FF1"/>
    <w:rsid w:val="00820710"/>
    <w:rsid w:val="00824BCD"/>
    <w:rsid w:val="008272D0"/>
    <w:rsid w:val="00827428"/>
    <w:rsid w:val="008356D3"/>
    <w:rsid w:val="00837407"/>
    <w:rsid w:val="00841D5B"/>
    <w:rsid w:val="0084502E"/>
    <w:rsid w:val="00850B34"/>
    <w:rsid w:val="00850DA8"/>
    <w:rsid w:val="00851BDF"/>
    <w:rsid w:val="00852F1D"/>
    <w:rsid w:val="008552BD"/>
    <w:rsid w:val="00856E3A"/>
    <w:rsid w:val="00857B97"/>
    <w:rsid w:val="00860B92"/>
    <w:rsid w:val="0086272F"/>
    <w:rsid w:val="0086496E"/>
    <w:rsid w:val="00870E45"/>
    <w:rsid w:val="0088051D"/>
    <w:rsid w:val="00882FA3"/>
    <w:rsid w:val="00883A3C"/>
    <w:rsid w:val="00887685"/>
    <w:rsid w:val="00890EF4"/>
    <w:rsid w:val="0089515D"/>
    <w:rsid w:val="00896133"/>
    <w:rsid w:val="00897ECF"/>
    <w:rsid w:val="008B3160"/>
    <w:rsid w:val="008C5927"/>
    <w:rsid w:val="008C7202"/>
    <w:rsid w:val="008C7FDD"/>
    <w:rsid w:val="008D0509"/>
    <w:rsid w:val="008D05E4"/>
    <w:rsid w:val="008D4B6B"/>
    <w:rsid w:val="008D7879"/>
    <w:rsid w:val="008E1555"/>
    <w:rsid w:val="008E3762"/>
    <w:rsid w:val="008E4F4B"/>
    <w:rsid w:val="008E608B"/>
    <w:rsid w:val="008E6C24"/>
    <w:rsid w:val="008E6E2C"/>
    <w:rsid w:val="008F0956"/>
    <w:rsid w:val="008F42B5"/>
    <w:rsid w:val="008F5077"/>
    <w:rsid w:val="008F63EA"/>
    <w:rsid w:val="00901B63"/>
    <w:rsid w:val="00902776"/>
    <w:rsid w:val="00906AF6"/>
    <w:rsid w:val="00911122"/>
    <w:rsid w:val="00913D79"/>
    <w:rsid w:val="00916ECD"/>
    <w:rsid w:val="009200FE"/>
    <w:rsid w:val="00922A3E"/>
    <w:rsid w:val="00923F4F"/>
    <w:rsid w:val="0092400F"/>
    <w:rsid w:val="0092424E"/>
    <w:rsid w:val="00925B54"/>
    <w:rsid w:val="00927564"/>
    <w:rsid w:val="00935253"/>
    <w:rsid w:val="00936E35"/>
    <w:rsid w:val="00940121"/>
    <w:rsid w:val="00943199"/>
    <w:rsid w:val="00945C13"/>
    <w:rsid w:val="00980B11"/>
    <w:rsid w:val="00983738"/>
    <w:rsid w:val="00983F7C"/>
    <w:rsid w:val="00991653"/>
    <w:rsid w:val="0099210A"/>
    <w:rsid w:val="00992BF9"/>
    <w:rsid w:val="00993B09"/>
    <w:rsid w:val="0099517E"/>
    <w:rsid w:val="0099595A"/>
    <w:rsid w:val="009A1712"/>
    <w:rsid w:val="009A2951"/>
    <w:rsid w:val="009A4D74"/>
    <w:rsid w:val="009A53FE"/>
    <w:rsid w:val="009A6722"/>
    <w:rsid w:val="009B0AD5"/>
    <w:rsid w:val="009B37A8"/>
    <w:rsid w:val="009B5926"/>
    <w:rsid w:val="009C4A01"/>
    <w:rsid w:val="009C510D"/>
    <w:rsid w:val="009C5916"/>
    <w:rsid w:val="009D2980"/>
    <w:rsid w:val="009D2C4D"/>
    <w:rsid w:val="009D64F3"/>
    <w:rsid w:val="009E1A6A"/>
    <w:rsid w:val="009E5749"/>
    <w:rsid w:val="009E7484"/>
    <w:rsid w:val="009E7F5B"/>
    <w:rsid w:val="009F0093"/>
    <w:rsid w:val="009F10DF"/>
    <w:rsid w:val="009F5E1F"/>
    <w:rsid w:val="00A02560"/>
    <w:rsid w:val="00A035C9"/>
    <w:rsid w:val="00A04802"/>
    <w:rsid w:val="00A05E01"/>
    <w:rsid w:val="00A07765"/>
    <w:rsid w:val="00A13057"/>
    <w:rsid w:val="00A132EA"/>
    <w:rsid w:val="00A136B8"/>
    <w:rsid w:val="00A21081"/>
    <w:rsid w:val="00A2164B"/>
    <w:rsid w:val="00A317B6"/>
    <w:rsid w:val="00A31930"/>
    <w:rsid w:val="00A31EA0"/>
    <w:rsid w:val="00A36206"/>
    <w:rsid w:val="00A41497"/>
    <w:rsid w:val="00A42ACC"/>
    <w:rsid w:val="00A518DE"/>
    <w:rsid w:val="00A51BC8"/>
    <w:rsid w:val="00A5282A"/>
    <w:rsid w:val="00A528FE"/>
    <w:rsid w:val="00A54948"/>
    <w:rsid w:val="00A54F19"/>
    <w:rsid w:val="00A56CAF"/>
    <w:rsid w:val="00A5759C"/>
    <w:rsid w:val="00A62E5F"/>
    <w:rsid w:val="00A707B0"/>
    <w:rsid w:val="00A711C1"/>
    <w:rsid w:val="00A77353"/>
    <w:rsid w:val="00A8324F"/>
    <w:rsid w:val="00A83697"/>
    <w:rsid w:val="00A87F74"/>
    <w:rsid w:val="00A90EA5"/>
    <w:rsid w:val="00A943AB"/>
    <w:rsid w:val="00AA04E4"/>
    <w:rsid w:val="00AA78C7"/>
    <w:rsid w:val="00AA7A32"/>
    <w:rsid w:val="00AB65AB"/>
    <w:rsid w:val="00AC1E99"/>
    <w:rsid w:val="00AC5FF0"/>
    <w:rsid w:val="00AC64FF"/>
    <w:rsid w:val="00AD1D9F"/>
    <w:rsid w:val="00AD1E73"/>
    <w:rsid w:val="00AD221C"/>
    <w:rsid w:val="00AD3F71"/>
    <w:rsid w:val="00AD7228"/>
    <w:rsid w:val="00AE29A0"/>
    <w:rsid w:val="00AE4BC3"/>
    <w:rsid w:val="00AE59B4"/>
    <w:rsid w:val="00AF7684"/>
    <w:rsid w:val="00B00C28"/>
    <w:rsid w:val="00B04867"/>
    <w:rsid w:val="00B04E38"/>
    <w:rsid w:val="00B073A5"/>
    <w:rsid w:val="00B07FBA"/>
    <w:rsid w:val="00B10659"/>
    <w:rsid w:val="00B116D4"/>
    <w:rsid w:val="00B11DBB"/>
    <w:rsid w:val="00B1259A"/>
    <w:rsid w:val="00B26206"/>
    <w:rsid w:val="00B268DF"/>
    <w:rsid w:val="00B276DD"/>
    <w:rsid w:val="00B346D5"/>
    <w:rsid w:val="00B34746"/>
    <w:rsid w:val="00B364BF"/>
    <w:rsid w:val="00B36B47"/>
    <w:rsid w:val="00B428BE"/>
    <w:rsid w:val="00B44836"/>
    <w:rsid w:val="00B47425"/>
    <w:rsid w:val="00B475A5"/>
    <w:rsid w:val="00B54503"/>
    <w:rsid w:val="00B54B67"/>
    <w:rsid w:val="00B564C6"/>
    <w:rsid w:val="00B60CD7"/>
    <w:rsid w:val="00B637CA"/>
    <w:rsid w:val="00B65F60"/>
    <w:rsid w:val="00B714B6"/>
    <w:rsid w:val="00B75C10"/>
    <w:rsid w:val="00B77638"/>
    <w:rsid w:val="00B8076D"/>
    <w:rsid w:val="00B80EFE"/>
    <w:rsid w:val="00B8117D"/>
    <w:rsid w:val="00B8135A"/>
    <w:rsid w:val="00B873CF"/>
    <w:rsid w:val="00B92D49"/>
    <w:rsid w:val="00B9332C"/>
    <w:rsid w:val="00B95962"/>
    <w:rsid w:val="00BA05AC"/>
    <w:rsid w:val="00BA0855"/>
    <w:rsid w:val="00BA67F8"/>
    <w:rsid w:val="00BB1964"/>
    <w:rsid w:val="00BC1FD5"/>
    <w:rsid w:val="00BC55B0"/>
    <w:rsid w:val="00BC5885"/>
    <w:rsid w:val="00BC6FF8"/>
    <w:rsid w:val="00BD62A0"/>
    <w:rsid w:val="00BE0D02"/>
    <w:rsid w:val="00BE3579"/>
    <w:rsid w:val="00BF0FD0"/>
    <w:rsid w:val="00BF6568"/>
    <w:rsid w:val="00C00B49"/>
    <w:rsid w:val="00C17C31"/>
    <w:rsid w:val="00C218D5"/>
    <w:rsid w:val="00C21D11"/>
    <w:rsid w:val="00C22203"/>
    <w:rsid w:val="00C24238"/>
    <w:rsid w:val="00C24E94"/>
    <w:rsid w:val="00C32F0F"/>
    <w:rsid w:val="00C33D54"/>
    <w:rsid w:val="00C357D5"/>
    <w:rsid w:val="00C37448"/>
    <w:rsid w:val="00C43E29"/>
    <w:rsid w:val="00C50B98"/>
    <w:rsid w:val="00C52575"/>
    <w:rsid w:val="00C56C66"/>
    <w:rsid w:val="00C57035"/>
    <w:rsid w:val="00C57F3A"/>
    <w:rsid w:val="00C6246E"/>
    <w:rsid w:val="00C63598"/>
    <w:rsid w:val="00C638A7"/>
    <w:rsid w:val="00C63D6C"/>
    <w:rsid w:val="00C64AA0"/>
    <w:rsid w:val="00C6510A"/>
    <w:rsid w:val="00C714C6"/>
    <w:rsid w:val="00C908B3"/>
    <w:rsid w:val="00C90AA3"/>
    <w:rsid w:val="00C92929"/>
    <w:rsid w:val="00C93BFC"/>
    <w:rsid w:val="00C972A1"/>
    <w:rsid w:val="00CA0231"/>
    <w:rsid w:val="00CA37A8"/>
    <w:rsid w:val="00CA6407"/>
    <w:rsid w:val="00CA6937"/>
    <w:rsid w:val="00CB297C"/>
    <w:rsid w:val="00CB3784"/>
    <w:rsid w:val="00CB4436"/>
    <w:rsid w:val="00CB7A54"/>
    <w:rsid w:val="00CC4075"/>
    <w:rsid w:val="00CC4179"/>
    <w:rsid w:val="00CC5736"/>
    <w:rsid w:val="00CC77B2"/>
    <w:rsid w:val="00CD29B6"/>
    <w:rsid w:val="00CD56C7"/>
    <w:rsid w:val="00CE03A5"/>
    <w:rsid w:val="00CE451B"/>
    <w:rsid w:val="00CE68ED"/>
    <w:rsid w:val="00CF0456"/>
    <w:rsid w:val="00CF1234"/>
    <w:rsid w:val="00CF1D71"/>
    <w:rsid w:val="00D009E4"/>
    <w:rsid w:val="00D025A7"/>
    <w:rsid w:val="00D03095"/>
    <w:rsid w:val="00D03A48"/>
    <w:rsid w:val="00D134AF"/>
    <w:rsid w:val="00D15D54"/>
    <w:rsid w:val="00D1720D"/>
    <w:rsid w:val="00D24866"/>
    <w:rsid w:val="00D2646F"/>
    <w:rsid w:val="00D27029"/>
    <w:rsid w:val="00D30AD8"/>
    <w:rsid w:val="00D32427"/>
    <w:rsid w:val="00D33E7E"/>
    <w:rsid w:val="00D4002A"/>
    <w:rsid w:val="00D438AA"/>
    <w:rsid w:val="00D43C98"/>
    <w:rsid w:val="00D457F3"/>
    <w:rsid w:val="00D460E8"/>
    <w:rsid w:val="00D47965"/>
    <w:rsid w:val="00D52512"/>
    <w:rsid w:val="00D541EF"/>
    <w:rsid w:val="00D56A9F"/>
    <w:rsid w:val="00D61492"/>
    <w:rsid w:val="00D62D31"/>
    <w:rsid w:val="00D65016"/>
    <w:rsid w:val="00D74472"/>
    <w:rsid w:val="00D80AC4"/>
    <w:rsid w:val="00D82DE9"/>
    <w:rsid w:val="00D85E94"/>
    <w:rsid w:val="00D86E0F"/>
    <w:rsid w:val="00D91340"/>
    <w:rsid w:val="00D922EC"/>
    <w:rsid w:val="00DA0603"/>
    <w:rsid w:val="00DA4F82"/>
    <w:rsid w:val="00DB5A18"/>
    <w:rsid w:val="00DC09D8"/>
    <w:rsid w:val="00DC0B4C"/>
    <w:rsid w:val="00DC4BA1"/>
    <w:rsid w:val="00DC5970"/>
    <w:rsid w:val="00DC5C42"/>
    <w:rsid w:val="00DC6F84"/>
    <w:rsid w:val="00DD0E9F"/>
    <w:rsid w:val="00DD35CB"/>
    <w:rsid w:val="00DD5C5D"/>
    <w:rsid w:val="00DD66D9"/>
    <w:rsid w:val="00DD7BBC"/>
    <w:rsid w:val="00DE5BF4"/>
    <w:rsid w:val="00DF22F2"/>
    <w:rsid w:val="00DF5475"/>
    <w:rsid w:val="00DF691A"/>
    <w:rsid w:val="00E01F81"/>
    <w:rsid w:val="00E02D61"/>
    <w:rsid w:val="00E049AE"/>
    <w:rsid w:val="00E10C10"/>
    <w:rsid w:val="00E123D9"/>
    <w:rsid w:val="00E125D6"/>
    <w:rsid w:val="00E139E1"/>
    <w:rsid w:val="00E256D1"/>
    <w:rsid w:val="00E30A62"/>
    <w:rsid w:val="00E32A13"/>
    <w:rsid w:val="00E33302"/>
    <w:rsid w:val="00E401C0"/>
    <w:rsid w:val="00E41A6D"/>
    <w:rsid w:val="00E4451E"/>
    <w:rsid w:val="00E535D1"/>
    <w:rsid w:val="00E57090"/>
    <w:rsid w:val="00E629FF"/>
    <w:rsid w:val="00E63278"/>
    <w:rsid w:val="00E66878"/>
    <w:rsid w:val="00E7086D"/>
    <w:rsid w:val="00E7123E"/>
    <w:rsid w:val="00E72497"/>
    <w:rsid w:val="00E76CDF"/>
    <w:rsid w:val="00E77556"/>
    <w:rsid w:val="00E80769"/>
    <w:rsid w:val="00E93F50"/>
    <w:rsid w:val="00E95FEE"/>
    <w:rsid w:val="00E96C75"/>
    <w:rsid w:val="00E96F85"/>
    <w:rsid w:val="00E97539"/>
    <w:rsid w:val="00EA3B7B"/>
    <w:rsid w:val="00EA6C56"/>
    <w:rsid w:val="00EA6E5F"/>
    <w:rsid w:val="00EB2CC1"/>
    <w:rsid w:val="00EB2CD4"/>
    <w:rsid w:val="00EB43A1"/>
    <w:rsid w:val="00EC1D59"/>
    <w:rsid w:val="00EC2C25"/>
    <w:rsid w:val="00EC3EC2"/>
    <w:rsid w:val="00ED13AD"/>
    <w:rsid w:val="00ED20CE"/>
    <w:rsid w:val="00EE327C"/>
    <w:rsid w:val="00EE46AA"/>
    <w:rsid w:val="00EF1AF1"/>
    <w:rsid w:val="00EF6B6A"/>
    <w:rsid w:val="00EF6D28"/>
    <w:rsid w:val="00F00843"/>
    <w:rsid w:val="00F01A38"/>
    <w:rsid w:val="00F02BD0"/>
    <w:rsid w:val="00F05C15"/>
    <w:rsid w:val="00F12622"/>
    <w:rsid w:val="00F12E99"/>
    <w:rsid w:val="00F12F2C"/>
    <w:rsid w:val="00F12F94"/>
    <w:rsid w:val="00F167EC"/>
    <w:rsid w:val="00F16B72"/>
    <w:rsid w:val="00F21766"/>
    <w:rsid w:val="00F22870"/>
    <w:rsid w:val="00F2398F"/>
    <w:rsid w:val="00F26F74"/>
    <w:rsid w:val="00F27414"/>
    <w:rsid w:val="00F420C8"/>
    <w:rsid w:val="00F43086"/>
    <w:rsid w:val="00F45AD0"/>
    <w:rsid w:val="00F61A9C"/>
    <w:rsid w:val="00F61C34"/>
    <w:rsid w:val="00F6226A"/>
    <w:rsid w:val="00F62369"/>
    <w:rsid w:val="00F633CA"/>
    <w:rsid w:val="00F64B59"/>
    <w:rsid w:val="00F66225"/>
    <w:rsid w:val="00F7312D"/>
    <w:rsid w:val="00F73ABA"/>
    <w:rsid w:val="00F76BDA"/>
    <w:rsid w:val="00F81B8C"/>
    <w:rsid w:val="00F83686"/>
    <w:rsid w:val="00F8406A"/>
    <w:rsid w:val="00F84E0C"/>
    <w:rsid w:val="00F90F47"/>
    <w:rsid w:val="00F925AC"/>
    <w:rsid w:val="00F94AE5"/>
    <w:rsid w:val="00F94C96"/>
    <w:rsid w:val="00FA1163"/>
    <w:rsid w:val="00FA503E"/>
    <w:rsid w:val="00FB5414"/>
    <w:rsid w:val="00FB7521"/>
    <w:rsid w:val="00FC67A1"/>
    <w:rsid w:val="00FC7474"/>
    <w:rsid w:val="00FD0076"/>
    <w:rsid w:val="00FD5671"/>
    <w:rsid w:val="00FE0DCF"/>
    <w:rsid w:val="00FE1D62"/>
    <w:rsid w:val="00FE6F70"/>
    <w:rsid w:val="00FF0CD4"/>
    <w:rsid w:val="00FF2560"/>
    <w:rsid w:val="00FF5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40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0"/>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62FF"/>
    <w:rPr>
      <w:rFonts w:ascii="Times New Roman" w:eastAsia="Times New Roman" w:hAnsi="Times New Roman" w:cs="Times New Roman"/>
      <w:lang w:val="en-US" w:eastAsia="en-GB"/>
    </w:rPr>
  </w:style>
  <w:style w:type="paragraph" w:styleId="Heading1">
    <w:name w:val="heading 1"/>
    <w:basedOn w:val="Normal"/>
    <w:next w:val="Normal"/>
    <w:link w:val="Heading1Char"/>
    <w:uiPriority w:val="9"/>
    <w:qFormat/>
    <w:rsid w:val="00D134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C66"/>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C56C66"/>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8E6E2C"/>
    <w:rPr>
      <w:sz w:val="22"/>
      <w:szCs w:val="22"/>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mpact">
    <w:name w:val="Compact"/>
    <w:basedOn w:val="BodyText"/>
    <w:qFormat/>
    <w:rsid w:val="008E6E2C"/>
    <w:pPr>
      <w:spacing w:before="36" w:after="36"/>
    </w:pPr>
    <w:rPr>
      <w:rFonts w:ascii="Times New Roman" w:hAnsi="Times New Roman" w:cs="Times New Roman"/>
      <w:lang w:eastAsia="en-GB"/>
    </w:rPr>
  </w:style>
  <w:style w:type="paragraph" w:styleId="HTMLPreformatted">
    <w:name w:val="HTML Preformatted"/>
    <w:basedOn w:val="Normal"/>
    <w:link w:val="HTMLPreformattedChar"/>
    <w:uiPriority w:val="99"/>
    <w:unhideWhenUsed/>
    <w:rsid w:val="008E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E6E2C"/>
    <w:rPr>
      <w:rFonts w:ascii="Courier New" w:hAnsi="Courier New" w:cs="Courier New"/>
      <w:sz w:val="20"/>
      <w:szCs w:val="20"/>
      <w:lang w:eastAsia="en-GB"/>
    </w:rPr>
  </w:style>
  <w:style w:type="paragraph" w:styleId="BodyText">
    <w:name w:val="Body Text"/>
    <w:basedOn w:val="Normal"/>
    <w:link w:val="BodyTextChar"/>
    <w:uiPriority w:val="99"/>
    <w:semiHidden/>
    <w:unhideWhenUsed/>
    <w:rsid w:val="008E6E2C"/>
    <w:pPr>
      <w:spacing w:after="120"/>
    </w:pPr>
    <w:rPr>
      <w:rFonts w:asciiTheme="minorHAnsi" w:eastAsiaTheme="minorHAnsi" w:hAnsiTheme="minorHAnsi" w:cstheme="minorBidi"/>
      <w:lang w:eastAsia="en-US"/>
    </w:rPr>
  </w:style>
  <w:style w:type="character" w:customStyle="1" w:styleId="BodyTextChar">
    <w:name w:val="Body Text Char"/>
    <w:basedOn w:val="DefaultParagraphFont"/>
    <w:link w:val="BodyText"/>
    <w:uiPriority w:val="99"/>
    <w:semiHidden/>
    <w:rsid w:val="008E6E2C"/>
  </w:style>
  <w:style w:type="character" w:styleId="HTMLCode">
    <w:name w:val="HTML Code"/>
    <w:basedOn w:val="DefaultParagraphFont"/>
    <w:uiPriority w:val="99"/>
    <w:semiHidden/>
    <w:unhideWhenUsed/>
    <w:rsid w:val="00D65016"/>
    <w:rPr>
      <w:rFonts w:ascii="Courier New" w:eastAsia="Times New Roman" w:hAnsi="Courier New" w:cs="Courier New"/>
      <w:sz w:val="20"/>
      <w:szCs w:val="20"/>
    </w:rPr>
  </w:style>
  <w:style w:type="paragraph" w:styleId="ListParagraph">
    <w:name w:val="List Paragraph"/>
    <w:basedOn w:val="Normal"/>
    <w:uiPriority w:val="34"/>
    <w:qFormat/>
    <w:rsid w:val="00FE6F70"/>
    <w:pPr>
      <w:ind w:left="720"/>
      <w:contextualSpacing/>
    </w:pPr>
  </w:style>
  <w:style w:type="character" w:customStyle="1" w:styleId="Heading1Char">
    <w:name w:val="Heading 1 Char"/>
    <w:basedOn w:val="DefaultParagraphFont"/>
    <w:link w:val="Heading1"/>
    <w:uiPriority w:val="9"/>
    <w:rsid w:val="00D134AF"/>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D134A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A7B6A"/>
    <w:pPr>
      <w:spacing w:after="100"/>
    </w:pPr>
  </w:style>
  <w:style w:type="character" w:styleId="Hyperlink">
    <w:name w:val="Hyperlink"/>
    <w:basedOn w:val="DefaultParagraphFont"/>
    <w:uiPriority w:val="99"/>
    <w:unhideWhenUsed/>
    <w:rsid w:val="005A7B6A"/>
    <w:rPr>
      <w:color w:val="0563C1" w:themeColor="hyperlink"/>
      <w:u w:val="single"/>
    </w:rPr>
  </w:style>
  <w:style w:type="paragraph" w:styleId="Header">
    <w:name w:val="header"/>
    <w:basedOn w:val="Normal"/>
    <w:link w:val="HeaderChar"/>
    <w:uiPriority w:val="99"/>
    <w:unhideWhenUsed/>
    <w:rsid w:val="00E66878"/>
    <w:pPr>
      <w:tabs>
        <w:tab w:val="center" w:pos="4680"/>
        <w:tab w:val="right" w:pos="9360"/>
      </w:tabs>
    </w:pPr>
  </w:style>
  <w:style w:type="character" w:customStyle="1" w:styleId="HeaderChar">
    <w:name w:val="Header Char"/>
    <w:basedOn w:val="DefaultParagraphFont"/>
    <w:link w:val="Header"/>
    <w:uiPriority w:val="99"/>
    <w:rsid w:val="00E66878"/>
    <w:rPr>
      <w:rFonts w:ascii="Times New Roman" w:eastAsia="Times New Roman" w:hAnsi="Times New Roman" w:cs="Times New Roman"/>
      <w:lang w:eastAsia="en-GB"/>
    </w:rPr>
  </w:style>
  <w:style w:type="paragraph" w:styleId="Footer">
    <w:name w:val="footer"/>
    <w:basedOn w:val="Normal"/>
    <w:link w:val="FooterChar"/>
    <w:uiPriority w:val="99"/>
    <w:unhideWhenUsed/>
    <w:rsid w:val="00E66878"/>
    <w:pPr>
      <w:tabs>
        <w:tab w:val="center" w:pos="4680"/>
        <w:tab w:val="right" w:pos="9360"/>
      </w:tabs>
    </w:pPr>
  </w:style>
  <w:style w:type="character" w:customStyle="1" w:styleId="FooterChar">
    <w:name w:val="Footer Char"/>
    <w:basedOn w:val="DefaultParagraphFont"/>
    <w:link w:val="Footer"/>
    <w:uiPriority w:val="99"/>
    <w:rsid w:val="00E66878"/>
    <w:rPr>
      <w:rFonts w:ascii="Times New Roman" w:eastAsia="Times New Roman" w:hAnsi="Times New Roman" w:cs="Times New Roman"/>
      <w:lang w:eastAsia="en-GB"/>
    </w:rPr>
  </w:style>
  <w:style w:type="table" w:styleId="PlainTable3">
    <w:name w:val="Plain Table 3"/>
    <w:basedOn w:val="TableNormal"/>
    <w:uiPriority w:val="43"/>
    <w:rsid w:val="004517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517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4517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F008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72709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2709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6744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6744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6744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C56C6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56C66"/>
    <w:rPr>
      <w:rFonts w:asciiTheme="majorHAnsi" w:eastAsiaTheme="majorEastAsia" w:hAnsiTheme="majorHAnsi" w:cstheme="majorBidi"/>
      <w:color w:val="1F3763" w:themeColor="accent1" w:themeShade="7F"/>
      <w:lang w:val="en-US"/>
    </w:rPr>
  </w:style>
  <w:style w:type="table" w:styleId="TableGridLight">
    <w:name w:val="Grid Table Light"/>
    <w:basedOn w:val="TableNormal"/>
    <w:uiPriority w:val="40"/>
    <w:rsid w:val="00C56C66"/>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8073CF"/>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96133"/>
    <w:pPr>
      <w:spacing w:after="100"/>
      <w:ind w:left="240"/>
    </w:pPr>
  </w:style>
  <w:style w:type="paragraph" w:styleId="TOC3">
    <w:name w:val="toc 3"/>
    <w:basedOn w:val="Normal"/>
    <w:next w:val="Normal"/>
    <w:autoRedefine/>
    <w:uiPriority w:val="39"/>
    <w:unhideWhenUsed/>
    <w:rsid w:val="00896133"/>
    <w:pPr>
      <w:spacing w:after="100"/>
      <w:ind w:left="480"/>
    </w:pPr>
  </w:style>
  <w:style w:type="paragraph" w:styleId="NoSpacing">
    <w:name w:val="No Spacing"/>
    <w:uiPriority w:val="1"/>
    <w:qFormat/>
    <w:rsid w:val="00791AFF"/>
    <w:rPr>
      <w:sz w:val="22"/>
      <w:szCs w:val="22"/>
      <w:lang w:val="en-US"/>
    </w:rPr>
  </w:style>
  <w:style w:type="character" w:styleId="CommentReference">
    <w:name w:val="annotation reference"/>
    <w:basedOn w:val="DefaultParagraphFont"/>
    <w:uiPriority w:val="99"/>
    <w:semiHidden/>
    <w:unhideWhenUsed/>
    <w:rsid w:val="00F21766"/>
    <w:rPr>
      <w:sz w:val="16"/>
      <w:szCs w:val="16"/>
    </w:rPr>
  </w:style>
  <w:style w:type="paragraph" w:styleId="CommentText">
    <w:name w:val="annotation text"/>
    <w:basedOn w:val="Normal"/>
    <w:link w:val="CommentTextChar"/>
    <w:uiPriority w:val="99"/>
    <w:unhideWhenUsed/>
    <w:rsid w:val="00F21766"/>
    <w:rPr>
      <w:sz w:val="20"/>
      <w:szCs w:val="20"/>
    </w:rPr>
  </w:style>
  <w:style w:type="character" w:customStyle="1" w:styleId="CommentTextChar">
    <w:name w:val="Comment Text Char"/>
    <w:basedOn w:val="DefaultParagraphFont"/>
    <w:link w:val="CommentText"/>
    <w:uiPriority w:val="99"/>
    <w:rsid w:val="00F2176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21766"/>
    <w:rPr>
      <w:b/>
      <w:bCs/>
    </w:rPr>
  </w:style>
  <w:style w:type="character" w:customStyle="1" w:styleId="CommentSubjectChar">
    <w:name w:val="Comment Subject Char"/>
    <w:basedOn w:val="CommentTextChar"/>
    <w:link w:val="CommentSubject"/>
    <w:uiPriority w:val="99"/>
    <w:semiHidden/>
    <w:rsid w:val="00F21766"/>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21766"/>
    <w:rPr>
      <w:sz w:val="18"/>
      <w:szCs w:val="18"/>
    </w:rPr>
  </w:style>
  <w:style w:type="character" w:customStyle="1" w:styleId="BalloonTextChar">
    <w:name w:val="Balloon Text Char"/>
    <w:basedOn w:val="DefaultParagraphFont"/>
    <w:link w:val="BalloonText"/>
    <w:uiPriority w:val="99"/>
    <w:semiHidden/>
    <w:rsid w:val="00F21766"/>
    <w:rPr>
      <w:rFonts w:ascii="Times New Roman" w:eastAsia="Times New Roman" w:hAnsi="Times New Roman" w:cs="Times New Roman"/>
      <w:sz w:val="18"/>
      <w:szCs w:val="18"/>
      <w:lang w:eastAsia="en-GB"/>
    </w:rPr>
  </w:style>
  <w:style w:type="paragraph" w:styleId="NormalWeb">
    <w:name w:val="Normal (Web)"/>
    <w:basedOn w:val="Normal"/>
    <w:uiPriority w:val="99"/>
    <w:semiHidden/>
    <w:unhideWhenUsed/>
    <w:rsid w:val="00D33E7E"/>
    <w:pPr>
      <w:spacing w:before="100" w:beforeAutospacing="1" w:after="100" w:afterAutospacing="1"/>
    </w:pPr>
  </w:style>
  <w:style w:type="character" w:styleId="Emphasis">
    <w:name w:val="Emphasis"/>
    <w:basedOn w:val="DefaultParagraphFont"/>
    <w:uiPriority w:val="20"/>
    <w:qFormat/>
    <w:rsid w:val="00D33E7E"/>
    <w:rPr>
      <w:i/>
      <w:iCs/>
    </w:rPr>
  </w:style>
  <w:style w:type="character" w:styleId="FollowedHyperlink">
    <w:name w:val="FollowedHyperlink"/>
    <w:basedOn w:val="DefaultParagraphFont"/>
    <w:uiPriority w:val="99"/>
    <w:semiHidden/>
    <w:unhideWhenUsed/>
    <w:rsid w:val="00A05E01"/>
    <w:rPr>
      <w:color w:val="954F72" w:themeColor="followedHyperlink"/>
      <w:u w:val="single"/>
    </w:rPr>
  </w:style>
  <w:style w:type="character" w:styleId="UnresolvedMention">
    <w:name w:val="Unresolved Mention"/>
    <w:basedOn w:val="DefaultParagraphFont"/>
    <w:uiPriority w:val="99"/>
    <w:rsid w:val="002370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1636">
      <w:bodyDiv w:val="1"/>
      <w:marLeft w:val="0"/>
      <w:marRight w:val="0"/>
      <w:marTop w:val="0"/>
      <w:marBottom w:val="0"/>
      <w:divBdr>
        <w:top w:val="none" w:sz="0" w:space="0" w:color="auto"/>
        <w:left w:val="none" w:sz="0" w:space="0" w:color="auto"/>
        <w:bottom w:val="none" w:sz="0" w:space="0" w:color="auto"/>
        <w:right w:val="none" w:sz="0" w:space="0" w:color="auto"/>
      </w:divBdr>
    </w:div>
    <w:div w:id="61418012">
      <w:bodyDiv w:val="1"/>
      <w:marLeft w:val="0"/>
      <w:marRight w:val="0"/>
      <w:marTop w:val="0"/>
      <w:marBottom w:val="0"/>
      <w:divBdr>
        <w:top w:val="none" w:sz="0" w:space="0" w:color="auto"/>
        <w:left w:val="none" w:sz="0" w:space="0" w:color="auto"/>
        <w:bottom w:val="none" w:sz="0" w:space="0" w:color="auto"/>
        <w:right w:val="none" w:sz="0" w:space="0" w:color="auto"/>
      </w:divBdr>
    </w:div>
    <w:div w:id="91702932">
      <w:bodyDiv w:val="1"/>
      <w:marLeft w:val="0"/>
      <w:marRight w:val="0"/>
      <w:marTop w:val="0"/>
      <w:marBottom w:val="0"/>
      <w:divBdr>
        <w:top w:val="none" w:sz="0" w:space="0" w:color="auto"/>
        <w:left w:val="none" w:sz="0" w:space="0" w:color="auto"/>
        <w:bottom w:val="none" w:sz="0" w:space="0" w:color="auto"/>
        <w:right w:val="none" w:sz="0" w:space="0" w:color="auto"/>
      </w:divBdr>
    </w:div>
    <w:div w:id="120080516">
      <w:bodyDiv w:val="1"/>
      <w:marLeft w:val="0"/>
      <w:marRight w:val="0"/>
      <w:marTop w:val="0"/>
      <w:marBottom w:val="0"/>
      <w:divBdr>
        <w:top w:val="none" w:sz="0" w:space="0" w:color="auto"/>
        <w:left w:val="none" w:sz="0" w:space="0" w:color="auto"/>
        <w:bottom w:val="none" w:sz="0" w:space="0" w:color="auto"/>
        <w:right w:val="none" w:sz="0" w:space="0" w:color="auto"/>
      </w:divBdr>
    </w:div>
    <w:div w:id="176893480">
      <w:bodyDiv w:val="1"/>
      <w:marLeft w:val="0"/>
      <w:marRight w:val="0"/>
      <w:marTop w:val="0"/>
      <w:marBottom w:val="0"/>
      <w:divBdr>
        <w:top w:val="none" w:sz="0" w:space="0" w:color="auto"/>
        <w:left w:val="none" w:sz="0" w:space="0" w:color="auto"/>
        <w:bottom w:val="none" w:sz="0" w:space="0" w:color="auto"/>
        <w:right w:val="none" w:sz="0" w:space="0" w:color="auto"/>
      </w:divBdr>
    </w:div>
    <w:div w:id="240415122">
      <w:bodyDiv w:val="1"/>
      <w:marLeft w:val="0"/>
      <w:marRight w:val="0"/>
      <w:marTop w:val="0"/>
      <w:marBottom w:val="0"/>
      <w:divBdr>
        <w:top w:val="none" w:sz="0" w:space="0" w:color="auto"/>
        <w:left w:val="none" w:sz="0" w:space="0" w:color="auto"/>
        <w:bottom w:val="none" w:sz="0" w:space="0" w:color="auto"/>
        <w:right w:val="none" w:sz="0" w:space="0" w:color="auto"/>
      </w:divBdr>
    </w:div>
    <w:div w:id="258373466">
      <w:bodyDiv w:val="1"/>
      <w:marLeft w:val="0"/>
      <w:marRight w:val="0"/>
      <w:marTop w:val="0"/>
      <w:marBottom w:val="0"/>
      <w:divBdr>
        <w:top w:val="none" w:sz="0" w:space="0" w:color="auto"/>
        <w:left w:val="none" w:sz="0" w:space="0" w:color="auto"/>
        <w:bottom w:val="none" w:sz="0" w:space="0" w:color="auto"/>
        <w:right w:val="none" w:sz="0" w:space="0" w:color="auto"/>
      </w:divBdr>
    </w:div>
    <w:div w:id="282004393">
      <w:bodyDiv w:val="1"/>
      <w:marLeft w:val="0"/>
      <w:marRight w:val="0"/>
      <w:marTop w:val="0"/>
      <w:marBottom w:val="0"/>
      <w:divBdr>
        <w:top w:val="none" w:sz="0" w:space="0" w:color="auto"/>
        <w:left w:val="none" w:sz="0" w:space="0" w:color="auto"/>
        <w:bottom w:val="none" w:sz="0" w:space="0" w:color="auto"/>
        <w:right w:val="none" w:sz="0" w:space="0" w:color="auto"/>
      </w:divBdr>
    </w:div>
    <w:div w:id="287440906">
      <w:bodyDiv w:val="1"/>
      <w:marLeft w:val="0"/>
      <w:marRight w:val="0"/>
      <w:marTop w:val="0"/>
      <w:marBottom w:val="0"/>
      <w:divBdr>
        <w:top w:val="none" w:sz="0" w:space="0" w:color="auto"/>
        <w:left w:val="none" w:sz="0" w:space="0" w:color="auto"/>
        <w:bottom w:val="none" w:sz="0" w:space="0" w:color="auto"/>
        <w:right w:val="none" w:sz="0" w:space="0" w:color="auto"/>
      </w:divBdr>
    </w:div>
    <w:div w:id="319508822">
      <w:bodyDiv w:val="1"/>
      <w:marLeft w:val="0"/>
      <w:marRight w:val="0"/>
      <w:marTop w:val="0"/>
      <w:marBottom w:val="0"/>
      <w:divBdr>
        <w:top w:val="none" w:sz="0" w:space="0" w:color="auto"/>
        <w:left w:val="none" w:sz="0" w:space="0" w:color="auto"/>
        <w:bottom w:val="none" w:sz="0" w:space="0" w:color="auto"/>
        <w:right w:val="none" w:sz="0" w:space="0" w:color="auto"/>
      </w:divBdr>
    </w:div>
    <w:div w:id="325404363">
      <w:bodyDiv w:val="1"/>
      <w:marLeft w:val="0"/>
      <w:marRight w:val="0"/>
      <w:marTop w:val="0"/>
      <w:marBottom w:val="0"/>
      <w:divBdr>
        <w:top w:val="none" w:sz="0" w:space="0" w:color="auto"/>
        <w:left w:val="none" w:sz="0" w:space="0" w:color="auto"/>
        <w:bottom w:val="none" w:sz="0" w:space="0" w:color="auto"/>
        <w:right w:val="none" w:sz="0" w:space="0" w:color="auto"/>
      </w:divBdr>
    </w:div>
    <w:div w:id="378477988">
      <w:bodyDiv w:val="1"/>
      <w:marLeft w:val="0"/>
      <w:marRight w:val="0"/>
      <w:marTop w:val="0"/>
      <w:marBottom w:val="0"/>
      <w:divBdr>
        <w:top w:val="none" w:sz="0" w:space="0" w:color="auto"/>
        <w:left w:val="none" w:sz="0" w:space="0" w:color="auto"/>
        <w:bottom w:val="none" w:sz="0" w:space="0" w:color="auto"/>
        <w:right w:val="none" w:sz="0" w:space="0" w:color="auto"/>
      </w:divBdr>
    </w:div>
    <w:div w:id="391928449">
      <w:bodyDiv w:val="1"/>
      <w:marLeft w:val="0"/>
      <w:marRight w:val="0"/>
      <w:marTop w:val="0"/>
      <w:marBottom w:val="0"/>
      <w:divBdr>
        <w:top w:val="none" w:sz="0" w:space="0" w:color="auto"/>
        <w:left w:val="none" w:sz="0" w:space="0" w:color="auto"/>
        <w:bottom w:val="none" w:sz="0" w:space="0" w:color="auto"/>
        <w:right w:val="none" w:sz="0" w:space="0" w:color="auto"/>
      </w:divBdr>
    </w:div>
    <w:div w:id="444929496">
      <w:bodyDiv w:val="1"/>
      <w:marLeft w:val="0"/>
      <w:marRight w:val="0"/>
      <w:marTop w:val="0"/>
      <w:marBottom w:val="0"/>
      <w:divBdr>
        <w:top w:val="none" w:sz="0" w:space="0" w:color="auto"/>
        <w:left w:val="none" w:sz="0" w:space="0" w:color="auto"/>
        <w:bottom w:val="none" w:sz="0" w:space="0" w:color="auto"/>
        <w:right w:val="none" w:sz="0" w:space="0" w:color="auto"/>
      </w:divBdr>
    </w:div>
    <w:div w:id="458692575">
      <w:bodyDiv w:val="1"/>
      <w:marLeft w:val="0"/>
      <w:marRight w:val="0"/>
      <w:marTop w:val="0"/>
      <w:marBottom w:val="0"/>
      <w:divBdr>
        <w:top w:val="none" w:sz="0" w:space="0" w:color="auto"/>
        <w:left w:val="none" w:sz="0" w:space="0" w:color="auto"/>
        <w:bottom w:val="none" w:sz="0" w:space="0" w:color="auto"/>
        <w:right w:val="none" w:sz="0" w:space="0" w:color="auto"/>
      </w:divBdr>
    </w:div>
    <w:div w:id="483668592">
      <w:bodyDiv w:val="1"/>
      <w:marLeft w:val="0"/>
      <w:marRight w:val="0"/>
      <w:marTop w:val="0"/>
      <w:marBottom w:val="0"/>
      <w:divBdr>
        <w:top w:val="none" w:sz="0" w:space="0" w:color="auto"/>
        <w:left w:val="none" w:sz="0" w:space="0" w:color="auto"/>
        <w:bottom w:val="none" w:sz="0" w:space="0" w:color="auto"/>
        <w:right w:val="none" w:sz="0" w:space="0" w:color="auto"/>
      </w:divBdr>
    </w:div>
    <w:div w:id="500589726">
      <w:bodyDiv w:val="1"/>
      <w:marLeft w:val="0"/>
      <w:marRight w:val="0"/>
      <w:marTop w:val="0"/>
      <w:marBottom w:val="0"/>
      <w:divBdr>
        <w:top w:val="none" w:sz="0" w:space="0" w:color="auto"/>
        <w:left w:val="none" w:sz="0" w:space="0" w:color="auto"/>
        <w:bottom w:val="none" w:sz="0" w:space="0" w:color="auto"/>
        <w:right w:val="none" w:sz="0" w:space="0" w:color="auto"/>
      </w:divBdr>
      <w:divsChild>
        <w:div w:id="611133343">
          <w:marLeft w:val="0"/>
          <w:marRight w:val="0"/>
          <w:marTop w:val="0"/>
          <w:marBottom w:val="0"/>
          <w:divBdr>
            <w:top w:val="none" w:sz="0" w:space="0" w:color="auto"/>
            <w:left w:val="none" w:sz="0" w:space="0" w:color="auto"/>
            <w:bottom w:val="none" w:sz="0" w:space="0" w:color="auto"/>
            <w:right w:val="none" w:sz="0" w:space="0" w:color="auto"/>
          </w:divBdr>
        </w:div>
      </w:divsChild>
    </w:div>
    <w:div w:id="509569450">
      <w:bodyDiv w:val="1"/>
      <w:marLeft w:val="0"/>
      <w:marRight w:val="0"/>
      <w:marTop w:val="0"/>
      <w:marBottom w:val="0"/>
      <w:divBdr>
        <w:top w:val="none" w:sz="0" w:space="0" w:color="auto"/>
        <w:left w:val="none" w:sz="0" w:space="0" w:color="auto"/>
        <w:bottom w:val="none" w:sz="0" w:space="0" w:color="auto"/>
        <w:right w:val="none" w:sz="0" w:space="0" w:color="auto"/>
      </w:divBdr>
      <w:divsChild>
        <w:div w:id="2113283303">
          <w:marLeft w:val="0"/>
          <w:marRight w:val="0"/>
          <w:marTop w:val="0"/>
          <w:marBottom w:val="0"/>
          <w:divBdr>
            <w:top w:val="none" w:sz="0" w:space="0" w:color="auto"/>
            <w:left w:val="none" w:sz="0" w:space="0" w:color="auto"/>
            <w:bottom w:val="none" w:sz="0" w:space="0" w:color="auto"/>
            <w:right w:val="none" w:sz="0" w:space="0" w:color="auto"/>
          </w:divBdr>
          <w:divsChild>
            <w:div w:id="974794185">
              <w:marLeft w:val="0"/>
              <w:marRight w:val="0"/>
              <w:marTop w:val="0"/>
              <w:marBottom w:val="0"/>
              <w:divBdr>
                <w:top w:val="none" w:sz="0" w:space="0" w:color="auto"/>
                <w:left w:val="none" w:sz="0" w:space="0" w:color="auto"/>
                <w:bottom w:val="none" w:sz="0" w:space="0" w:color="auto"/>
                <w:right w:val="none" w:sz="0" w:space="0" w:color="auto"/>
              </w:divBdr>
              <w:divsChild>
                <w:div w:id="917403691">
                  <w:marLeft w:val="0"/>
                  <w:marRight w:val="0"/>
                  <w:marTop w:val="0"/>
                  <w:marBottom w:val="0"/>
                  <w:divBdr>
                    <w:top w:val="none" w:sz="0" w:space="0" w:color="auto"/>
                    <w:left w:val="none" w:sz="0" w:space="0" w:color="auto"/>
                    <w:bottom w:val="none" w:sz="0" w:space="0" w:color="auto"/>
                    <w:right w:val="none" w:sz="0" w:space="0" w:color="auto"/>
                  </w:divBdr>
                  <w:divsChild>
                    <w:div w:id="24599326">
                      <w:marLeft w:val="0"/>
                      <w:marRight w:val="0"/>
                      <w:marTop w:val="0"/>
                      <w:marBottom w:val="0"/>
                      <w:divBdr>
                        <w:top w:val="none" w:sz="0" w:space="0" w:color="auto"/>
                        <w:left w:val="none" w:sz="0" w:space="0" w:color="auto"/>
                        <w:bottom w:val="none" w:sz="0" w:space="0" w:color="auto"/>
                        <w:right w:val="none" w:sz="0" w:space="0" w:color="auto"/>
                      </w:divBdr>
                      <w:divsChild>
                        <w:div w:id="1925842344">
                          <w:marLeft w:val="0"/>
                          <w:marRight w:val="0"/>
                          <w:marTop w:val="0"/>
                          <w:marBottom w:val="0"/>
                          <w:divBdr>
                            <w:top w:val="none" w:sz="0" w:space="0" w:color="auto"/>
                            <w:left w:val="none" w:sz="0" w:space="0" w:color="auto"/>
                            <w:bottom w:val="none" w:sz="0" w:space="0" w:color="auto"/>
                            <w:right w:val="none" w:sz="0" w:space="0" w:color="auto"/>
                          </w:divBdr>
                          <w:divsChild>
                            <w:div w:id="1273786929">
                              <w:marLeft w:val="570"/>
                              <w:marRight w:val="0"/>
                              <w:marTop w:val="0"/>
                              <w:marBottom w:val="0"/>
                              <w:divBdr>
                                <w:top w:val="none" w:sz="0" w:space="0" w:color="auto"/>
                                <w:left w:val="none" w:sz="0" w:space="0" w:color="auto"/>
                                <w:bottom w:val="none" w:sz="0" w:space="0" w:color="auto"/>
                                <w:right w:val="none" w:sz="0" w:space="0" w:color="auto"/>
                              </w:divBdr>
                              <w:divsChild>
                                <w:div w:id="1245382899">
                                  <w:marLeft w:val="0"/>
                                  <w:marRight w:val="0"/>
                                  <w:marTop w:val="0"/>
                                  <w:marBottom w:val="0"/>
                                  <w:divBdr>
                                    <w:top w:val="none" w:sz="0" w:space="0" w:color="auto"/>
                                    <w:left w:val="none" w:sz="0" w:space="0" w:color="auto"/>
                                    <w:bottom w:val="none" w:sz="0" w:space="0" w:color="auto"/>
                                    <w:right w:val="none" w:sz="0" w:space="0" w:color="auto"/>
                                  </w:divBdr>
                                  <w:divsChild>
                                    <w:div w:id="1778910077">
                                      <w:marLeft w:val="0"/>
                                      <w:marRight w:val="0"/>
                                      <w:marTop w:val="0"/>
                                      <w:marBottom w:val="0"/>
                                      <w:divBdr>
                                        <w:top w:val="none" w:sz="0" w:space="0" w:color="auto"/>
                                        <w:left w:val="none" w:sz="0" w:space="0" w:color="auto"/>
                                        <w:bottom w:val="none" w:sz="0" w:space="0" w:color="auto"/>
                                        <w:right w:val="none" w:sz="0" w:space="0" w:color="auto"/>
                                      </w:divBdr>
                                      <w:divsChild>
                                        <w:div w:id="1445883564">
                                          <w:marLeft w:val="0"/>
                                          <w:marRight w:val="0"/>
                                          <w:marTop w:val="0"/>
                                          <w:marBottom w:val="0"/>
                                          <w:divBdr>
                                            <w:top w:val="none" w:sz="0" w:space="0" w:color="auto"/>
                                            <w:left w:val="none" w:sz="0" w:space="0" w:color="auto"/>
                                            <w:bottom w:val="none" w:sz="0" w:space="0" w:color="auto"/>
                                            <w:right w:val="none" w:sz="0" w:space="0" w:color="auto"/>
                                          </w:divBdr>
                                          <w:divsChild>
                                            <w:div w:id="1418937945">
                                              <w:marLeft w:val="0"/>
                                              <w:marRight w:val="0"/>
                                              <w:marTop w:val="0"/>
                                              <w:marBottom w:val="0"/>
                                              <w:divBdr>
                                                <w:top w:val="none" w:sz="0" w:space="0" w:color="auto"/>
                                                <w:left w:val="none" w:sz="0" w:space="0" w:color="auto"/>
                                                <w:bottom w:val="none" w:sz="0" w:space="0" w:color="auto"/>
                                                <w:right w:val="none" w:sz="0" w:space="0" w:color="auto"/>
                                              </w:divBdr>
                                              <w:divsChild>
                                                <w:div w:id="16555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620514">
          <w:marLeft w:val="0"/>
          <w:marRight w:val="0"/>
          <w:marTop w:val="0"/>
          <w:marBottom w:val="0"/>
          <w:divBdr>
            <w:top w:val="none" w:sz="0" w:space="0" w:color="auto"/>
            <w:left w:val="none" w:sz="0" w:space="0" w:color="auto"/>
            <w:bottom w:val="none" w:sz="0" w:space="0" w:color="auto"/>
            <w:right w:val="none" w:sz="0" w:space="0" w:color="auto"/>
          </w:divBdr>
          <w:divsChild>
            <w:div w:id="1742218252">
              <w:marLeft w:val="0"/>
              <w:marRight w:val="0"/>
              <w:marTop w:val="0"/>
              <w:marBottom w:val="0"/>
              <w:divBdr>
                <w:top w:val="none" w:sz="0" w:space="0" w:color="auto"/>
                <w:left w:val="none" w:sz="0" w:space="0" w:color="auto"/>
                <w:bottom w:val="none" w:sz="0" w:space="0" w:color="auto"/>
                <w:right w:val="none" w:sz="0" w:space="0" w:color="auto"/>
              </w:divBdr>
              <w:divsChild>
                <w:div w:id="27410386">
                  <w:marLeft w:val="0"/>
                  <w:marRight w:val="0"/>
                  <w:marTop w:val="0"/>
                  <w:marBottom w:val="0"/>
                  <w:divBdr>
                    <w:top w:val="none" w:sz="0" w:space="0" w:color="auto"/>
                    <w:left w:val="none" w:sz="0" w:space="0" w:color="auto"/>
                    <w:bottom w:val="none" w:sz="0" w:space="0" w:color="auto"/>
                    <w:right w:val="none" w:sz="0" w:space="0" w:color="auto"/>
                  </w:divBdr>
                  <w:divsChild>
                    <w:div w:id="637757948">
                      <w:marLeft w:val="0"/>
                      <w:marRight w:val="0"/>
                      <w:marTop w:val="0"/>
                      <w:marBottom w:val="0"/>
                      <w:divBdr>
                        <w:top w:val="none" w:sz="0" w:space="0" w:color="auto"/>
                        <w:left w:val="none" w:sz="0" w:space="0" w:color="auto"/>
                        <w:bottom w:val="none" w:sz="0" w:space="0" w:color="auto"/>
                        <w:right w:val="none" w:sz="0" w:space="0" w:color="auto"/>
                      </w:divBdr>
                      <w:divsChild>
                        <w:div w:id="900556561">
                          <w:marLeft w:val="0"/>
                          <w:marRight w:val="0"/>
                          <w:marTop w:val="0"/>
                          <w:marBottom w:val="0"/>
                          <w:divBdr>
                            <w:top w:val="none" w:sz="0" w:space="0" w:color="auto"/>
                            <w:left w:val="none" w:sz="0" w:space="0" w:color="auto"/>
                            <w:bottom w:val="none" w:sz="0" w:space="0" w:color="auto"/>
                            <w:right w:val="none" w:sz="0" w:space="0" w:color="auto"/>
                          </w:divBdr>
                          <w:divsChild>
                            <w:div w:id="1370379161">
                              <w:marLeft w:val="570"/>
                              <w:marRight w:val="0"/>
                              <w:marTop w:val="0"/>
                              <w:marBottom w:val="0"/>
                              <w:divBdr>
                                <w:top w:val="none" w:sz="0" w:space="0" w:color="auto"/>
                                <w:left w:val="none" w:sz="0" w:space="0" w:color="auto"/>
                                <w:bottom w:val="none" w:sz="0" w:space="0" w:color="auto"/>
                                <w:right w:val="none" w:sz="0" w:space="0" w:color="auto"/>
                              </w:divBdr>
                              <w:divsChild>
                                <w:div w:id="1504541877">
                                  <w:marLeft w:val="0"/>
                                  <w:marRight w:val="0"/>
                                  <w:marTop w:val="0"/>
                                  <w:marBottom w:val="0"/>
                                  <w:divBdr>
                                    <w:top w:val="none" w:sz="0" w:space="0" w:color="auto"/>
                                    <w:left w:val="none" w:sz="0" w:space="0" w:color="auto"/>
                                    <w:bottom w:val="none" w:sz="0" w:space="0" w:color="auto"/>
                                    <w:right w:val="none" w:sz="0" w:space="0" w:color="auto"/>
                                  </w:divBdr>
                                  <w:divsChild>
                                    <w:div w:id="701126518">
                                      <w:marLeft w:val="0"/>
                                      <w:marRight w:val="0"/>
                                      <w:marTop w:val="0"/>
                                      <w:marBottom w:val="0"/>
                                      <w:divBdr>
                                        <w:top w:val="none" w:sz="0" w:space="0" w:color="auto"/>
                                        <w:left w:val="none" w:sz="0" w:space="0" w:color="auto"/>
                                        <w:bottom w:val="none" w:sz="0" w:space="0" w:color="auto"/>
                                        <w:right w:val="none" w:sz="0" w:space="0" w:color="auto"/>
                                      </w:divBdr>
                                      <w:divsChild>
                                        <w:div w:id="1159659524">
                                          <w:marLeft w:val="0"/>
                                          <w:marRight w:val="0"/>
                                          <w:marTop w:val="0"/>
                                          <w:marBottom w:val="0"/>
                                          <w:divBdr>
                                            <w:top w:val="none" w:sz="0" w:space="0" w:color="auto"/>
                                            <w:left w:val="none" w:sz="0" w:space="0" w:color="auto"/>
                                            <w:bottom w:val="none" w:sz="0" w:space="0" w:color="auto"/>
                                            <w:right w:val="none" w:sz="0" w:space="0" w:color="auto"/>
                                          </w:divBdr>
                                          <w:divsChild>
                                            <w:div w:id="739521455">
                                              <w:marLeft w:val="0"/>
                                              <w:marRight w:val="0"/>
                                              <w:marTop w:val="0"/>
                                              <w:marBottom w:val="0"/>
                                              <w:divBdr>
                                                <w:top w:val="none" w:sz="0" w:space="0" w:color="auto"/>
                                                <w:left w:val="none" w:sz="0" w:space="0" w:color="auto"/>
                                                <w:bottom w:val="none" w:sz="0" w:space="0" w:color="auto"/>
                                                <w:right w:val="none" w:sz="0" w:space="0" w:color="auto"/>
                                              </w:divBdr>
                                              <w:divsChild>
                                                <w:div w:id="956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029768">
      <w:bodyDiv w:val="1"/>
      <w:marLeft w:val="0"/>
      <w:marRight w:val="0"/>
      <w:marTop w:val="0"/>
      <w:marBottom w:val="0"/>
      <w:divBdr>
        <w:top w:val="none" w:sz="0" w:space="0" w:color="auto"/>
        <w:left w:val="none" w:sz="0" w:space="0" w:color="auto"/>
        <w:bottom w:val="none" w:sz="0" w:space="0" w:color="auto"/>
        <w:right w:val="none" w:sz="0" w:space="0" w:color="auto"/>
      </w:divBdr>
    </w:div>
    <w:div w:id="557862633">
      <w:bodyDiv w:val="1"/>
      <w:marLeft w:val="0"/>
      <w:marRight w:val="0"/>
      <w:marTop w:val="0"/>
      <w:marBottom w:val="0"/>
      <w:divBdr>
        <w:top w:val="none" w:sz="0" w:space="0" w:color="auto"/>
        <w:left w:val="none" w:sz="0" w:space="0" w:color="auto"/>
        <w:bottom w:val="none" w:sz="0" w:space="0" w:color="auto"/>
        <w:right w:val="none" w:sz="0" w:space="0" w:color="auto"/>
      </w:divBdr>
    </w:div>
    <w:div w:id="571430871">
      <w:bodyDiv w:val="1"/>
      <w:marLeft w:val="0"/>
      <w:marRight w:val="0"/>
      <w:marTop w:val="0"/>
      <w:marBottom w:val="0"/>
      <w:divBdr>
        <w:top w:val="none" w:sz="0" w:space="0" w:color="auto"/>
        <w:left w:val="none" w:sz="0" w:space="0" w:color="auto"/>
        <w:bottom w:val="none" w:sz="0" w:space="0" w:color="auto"/>
        <w:right w:val="none" w:sz="0" w:space="0" w:color="auto"/>
      </w:divBdr>
    </w:div>
    <w:div w:id="600525354">
      <w:bodyDiv w:val="1"/>
      <w:marLeft w:val="0"/>
      <w:marRight w:val="0"/>
      <w:marTop w:val="0"/>
      <w:marBottom w:val="0"/>
      <w:divBdr>
        <w:top w:val="none" w:sz="0" w:space="0" w:color="auto"/>
        <w:left w:val="none" w:sz="0" w:space="0" w:color="auto"/>
        <w:bottom w:val="none" w:sz="0" w:space="0" w:color="auto"/>
        <w:right w:val="none" w:sz="0" w:space="0" w:color="auto"/>
      </w:divBdr>
    </w:div>
    <w:div w:id="615715199">
      <w:bodyDiv w:val="1"/>
      <w:marLeft w:val="0"/>
      <w:marRight w:val="0"/>
      <w:marTop w:val="0"/>
      <w:marBottom w:val="0"/>
      <w:divBdr>
        <w:top w:val="none" w:sz="0" w:space="0" w:color="auto"/>
        <w:left w:val="none" w:sz="0" w:space="0" w:color="auto"/>
        <w:bottom w:val="none" w:sz="0" w:space="0" w:color="auto"/>
        <w:right w:val="none" w:sz="0" w:space="0" w:color="auto"/>
      </w:divBdr>
    </w:div>
    <w:div w:id="647439679">
      <w:bodyDiv w:val="1"/>
      <w:marLeft w:val="0"/>
      <w:marRight w:val="0"/>
      <w:marTop w:val="0"/>
      <w:marBottom w:val="0"/>
      <w:divBdr>
        <w:top w:val="none" w:sz="0" w:space="0" w:color="auto"/>
        <w:left w:val="none" w:sz="0" w:space="0" w:color="auto"/>
        <w:bottom w:val="none" w:sz="0" w:space="0" w:color="auto"/>
        <w:right w:val="none" w:sz="0" w:space="0" w:color="auto"/>
      </w:divBdr>
    </w:div>
    <w:div w:id="660546827">
      <w:bodyDiv w:val="1"/>
      <w:marLeft w:val="0"/>
      <w:marRight w:val="0"/>
      <w:marTop w:val="0"/>
      <w:marBottom w:val="0"/>
      <w:divBdr>
        <w:top w:val="none" w:sz="0" w:space="0" w:color="auto"/>
        <w:left w:val="none" w:sz="0" w:space="0" w:color="auto"/>
        <w:bottom w:val="none" w:sz="0" w:space="0" w:color="auto"/>
        <w:right w:val="none" w:sz="0" w:space="0" w:color="auto"/>
      </w:divBdr>
    </w:div>
    <w:div w:id="664675276">
      <w:bodyDiv w:val="1"/>
      <w:marLeft w:val="0"/>
      <w:marRight w:val="0"/>
      <w:marTop w:val="0"/>
      <w:marBottom w:val="0"/>
      <w:divBdr>
        <w:top w:val="none" w:sz="0" w:space="0" w:color="auto"/>
        <w:left w:val="none" w:sz="0" w:space="0" w:color="auto"/>
        <w:bottom w:val="none" w:sz="0" w:space="0" w:color="auto"/>
        <w:right w:val="none" w:sz="0" w:space="0" w:color="auto"/>
      </w:divBdr>
    </w:div>
    <w:div w:id="671493586">
      <w:bodyDiv w:val="1"/>
      <w:marLeft w:val="0"/>
      <w:marRight w:val="0"/>
      <w:marTop w:val="0"/>
      <w:marBottom w:val="0"/>
      <w:divBdr>
        <w:top w:val="none" w:sz="0" w:space="0" w:color="auto"/>
        <w:left w:val="none" w:sz="0" w:space="0" w:color="auto"/>
        <w:bottom w:val="none" w:sz="0" w:space="0" w:color="auto"/>
        <w:right w:val="none" w:sz="0" w:space="0" w:color="auto"/>
      </w:divBdr>
    </w:div>
    <w:div w:id="678506773">
      <w:bodyDiv w:val="1"/>
      <w:marLeft w:val="0"/>
      <w:marRight w:val="0"/>
      <w:marTop w:val="0"/>
      <w:marBottom w:val="0"/>
      <w:divBdr>
        <w:top w:val="none" w:sz="0" w:space="0" w:color="auto"/>
        <w:left w:val="none" w:sz="0" w:space="0" w:color="auto"/>
        <w:bottom w:val="none" w:sz="0" w:space="0" w:color="auto"/>
        <w:right w:val="none" w:sz="0" w:space="0" w:color="auto"/>
      </w:divBdr>
      <w:divsChild>
        <w:div w:id="939801136">
          <w:marLeft w:val="0"/>
          <w:marRight w:val="0"/>
          <w:marTop w:val="0"/>
          <w:marBottom w:val="0"/>
          <w:divBdr>
            <w:top w:val="none" w:sz="0" w:space="0" w:color="auto"/>
            <w:left w:val="none" w:sz="0" w:space="0" w:color="auto"/>
            <w:bottom w:val="none" w:sz="0" w:space="0" w:color="auto"/>
            <w:right w:val="none" w:sz="0" w:space="0" w:color="auto"/>
          </w:divBdr>
          <w:divsChild>
            <w:div w:id="230966835">
              <w:marLeft w:val="0"/>
              <w:marRight w:val="0"/>
              <w:marTop w:val="0"/>
              <w:marBottom w:val="0"/>
              <w:divBdr>
                <w:top w:val="none" w:sz="0" w:space="0" w:color="auto"/>
                <w:left w:val="none" w:sz="0" w:space="0" w:color="auto"/>
                <w:bottom w:val="none" w:sz="0" w:space="0" w:color="auto"/>
                <w:right w:val="none" w:sz="0" w:space="0" w:color="auto"/>
              </w:divBdr>
              <w:divsChild>
                <w:div w:id="1879126527">
                  <w:marLeft w:val="0"/>
                  <w:marRight w:val="0"/>
                  <w:marTop w:val="0"/>
                  <w:marBottom w:val="0"/>
                  <w:divBdr>
                    <w:top w:val="none" w:sz="0" w:space="0" w:color="auto"/>
                    <w:left w:val="none" w:sz="0" w:space="0" w:color="auto"/>
                    <w:bottom w:val="none" w:sz="0" w:space="0" w:color="auto"/>
                    <w:right w:val="none" w:sz="0" w:space="0" w:color="auto"/>
                  </w:divBdr>
                  <w:divsChild>
                    <w:div w:id="323901589">
                      <w:marLeft w:val="0"/>
                      <w:marRight w:val="0"/>
                      <w:marTop w:val="0"/>
                      <w:marBottom w:val="0"/>
                      <w:divBdr>
                        <w:top w:val="none" w:sz="0" w:space="0" w:color="auto"/>
                        <w:left w:val="none" w:sz="0" w:space="0" w:color="auto"/>
                        <w:bottom w:val="none" w:sz="0" w:space="0" w:color="auto"/>
                        <w:right w:val="none" w:sz="0" w:space="0" w:color="auto"/>
                      </w:divBdr>
                      <w:divsChild>
                        <w:div w:id="1251767808">
                          <w:marLeft w:val="0"/>
                          <w:marRight w:val="0"/>
                          <w:marTop w:val="0"/>
                          <w:marBottom w:val="0"/>
                          <w:divBdr>
                            <w:top w:val="none" w:sz="0" w:space="0" w:color="auto"/>
                            <w:left w:val="none" w:sz="0" w:space="0" w:color="auto"/>
                            <w:bottom w:val="none" w:sz="0" w:space="0" w:color="auto"/>
                            <w:right w:val="none" w:sz="0" w:space="0" w:color="auto"/>
                          </w:divBdr>
                          <w:divsChild>
                            <w:div w:id="272640755">
                              <w:marLeft w:val="570"/>
                              <w:marRight w:val="0"/>
                              <w:marTop w:val="0"/>
                              <w:marBottom w:val="0"/>
                              <w:divBdr>
                                <w:top w:val="none" w:sz="0" w:space="0" w:color="auto"/>
                                <w:left w:val="none" w:sz="0" w:space="0" w:color="auto"/>
                                <w:bottom w:val="none" w:sz="0" w:space="0" w:color="auto"/>
                                <w:right w:val="none" w:sz="0" w:space="0" w:color="auto"/>
                              </w:divBdr>
                              <w:divsChild>
                                <w:div w:id="2129660459">
                                  <w:marLeft w:val="0"/>
                                  <w:marRight w:val="0"/>
                                  <w:marTop w:val="0"/>
                                  <w:marBottom w:val="0"/>
                                  <w:divBdr>
                                    <w:top w:val="none" w:sz="0" w:space="0" w:color="auto"/>
                                    <w:left w:val="none" w:sz="0" w:space="0" w:color="auto"/>
                                    <w:bottom w:val="none" w:sz="0" w:space="0" w:color="auto"/>
                                    <w:right w:val="none" w:sz="0" w:space="0" w:color="auto"/>
                                  </w:divBdr>
                                  <w:divsChild>
                                    <w:div w:id="1346401271">
                                      <w:marLeft w:val="0"/>
                                      <w:marRight w:val="0"/>
                                      <w:marTop w:val="0"/>
                                      <w:marBottom w:val="0"/>
                                      <w:divBdr>
                                        <w:top w:val="none" w:sz="0" w:space="0" w:color="auto"/>
                                        <w:left w:val="none" w:sz="0" w:space="0" w:color="auto"/>
                                        <w:bottom w:val="none" w:sz="0" w:space="0" w:color="auto"/>
                                        <w:right w:val="none" w:sz="0" w:space="0" w:color="auto"/>
                                      </w:divBdr>
                                      <w:divsChild>
                                        <w:div w:id="482044420">
                                          <w:marLeft w:val="0"/>
                                          <w:marRight w:val="0"/>
                                          <w:marTop w:val="0"/>
                                          <w:marBottom w:val="0"/>
                                          <w:divBdr>
                                            <w:top w:val="none" w:sz="0" w:space="0" w:color="auto"/>
                                            <w:left w:val="none" w:sz="0" w:space="0" w:color="auto"/>
                                            <w:bottom w:val="none" w:sz="0" w:space="0" w:color="auto"/>
                                            <w:right w:val="none" w:sz="0" w:space="0" w:color="auto"/>
                                          </w:divBdr>
                                          <w:divsChild>
                                            <w:div w:id="7416185">
                                              <w:marLeft w:val="0"/>
                                              <w:marRight w:val="0"/>
                                              <w:marTop w:val="0"/>
                                              <w:marBottom w:val="0"/>
                                              <w:divBdr>
                                                <w:top w:val="none" w:sz="0" w:space="0" w:color="auto"/>
                                                <w:left w:val="none" w:sz="0" w:space="0" w:color="auto"/>
                                                <w:bottom w:val="none" w:sz="0" w:space="0" w:color="auto"/>
                                                <w:right w:val="none" w:sz="0" w:space="0" w:color="auto"/>
                                              </w:divBdr>
                                              <w:divsChild>
                                                <w:div w:id="18423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294342">
          <w:marLeft w:val="0"/>
          <w:marRight w:val="0"/>
          <w:marTop w:val="0"/>
          <w:marBottom w:val="0"/>
          <w:divBdr>
            <w:top w:val="none" w:sz="0" w:space="0" w:color="auto"/>
            <w:left w:val="none" w:sz="0" w:space="0" w:color="auto"/>
            <w:bottom w:val="none" w:sz="0" w:space="0" w:color="auto"/>
            <w:right w:val="none" w:sz="0" w:space="0" w:color="auto"/>
          </w:divBdr>
          <w:divsChild>
            <w:div w:id="1275672565">
              <w:marLeft w:val="0"/>
              <w:marRight w:val="0"/>
              <w:marTop w:val="0"/>
              <w:marBottom w:val="0"/>
              <w:divBdr>
                <w:top w:val="none" w:sz="0" w:space="0" w:color="auto"/>
                <w:left w:val="none" w:sz="0" w:space="0" w:color="auto"/>
                <w:bottom w:val="none" w:sz="0" w:space="0" w:color="auto"/>
                <w:right w:val="none" w:sz="0" w:space="0" w:color="auto"/>
              </w:divBdr>
              <w:divsChild>
                <w:div w:id="1778132780">
                  <w:marLeft w:val="0"/>
                  <w:marRight w:val="0"/>
                  <w:marTop w:val="0"/>
                  <w:marBottom w:val="0"/>
                  <w:divBdr>
                    <w:top w:val="none" w:sz="0" w:space="0" w:color="auto"/>
                    <w:left w:val="none" w:sz="0" w:space="0" w:color="auto"/>
                    <w:bottom w:val="none" w:sz="0" w:space="0" w:color="auto"/>
                    <w:right w:val="none" w:sz="0" w:space="0" w:color="auto"/>
                  </w:divBdr>
                  <w:divsChild>
                    <w:div w:id="635331497">
                      <w:marLeft w:val="0"/>
                      <w:marRight w:val="0"/>
                      <w:marTop w:val="0"/>
                      <w:marBottom w:val="0"/>
                      <w:divBdr>
                        <w:top w:val="none" w:sz="0" w:space="0" w:color="auto"/>
                        <w:left w:val="none" w:sz="0" w:space="0" w:color="auto"/>
                        <w:bottom w:val="none" w:sz="0" w:space="0" w:color="auto"/>
                        <w:right w:val="none" w:sz="0" w:space="0" w:color="auto"/>
                      </w:divBdr>
                      <w:divsChild>
                        <w:div w:id="753628793">
                          <w:marLeft w:val="0"/>
                          <w:marRight w:val="0"/>
                          <w:marTop w:val="0"/>
                          <w:marBottom w:val="0"/>
                          <w:divBdr>
                            <w:top w:val="none" w:sz="0" w:space="0" w:color="auto"/>
                            <w:left w:val="none" w:sz="0" w:space="0" w:color="auto"/>
                            <w:bottom w:val="none" w:sz="0" w:space="0" w:color="auto"/>
                            <w:right w:val="none" w:sz="0" w:space="0" w:color="auto"/>
                          </w:divBdr>
                          <w:divsChild>
                            <w:div w:id="800418444">
                              <w:marLeft w:val="570"/>
                              <w:marRight w:val="0"/>
                              <w:marTop w:val="0"/>
                              <w:marBottom w:val="0"/>
                              <w:divBdr>
                                <w:top w:val="none" w:sz="0" w:space="0" w:color="auto"/>
                                <w:left w:val="none" w:sz="0" w:space="0" w:color="auto"/>
                                <w:bottom w:val="none" w:sz="0" w:space="0" w:color="auto"/>
                                <w:right w:val="none" w:sz="0" w:space="0" w:color="auto"/>
                              </w:divBdr>
                              <w:divsChild>
                                <w:div w:id="143355142">
                                  <w:marLeft w:val="0"/>
                                  <w:marRight w:val="0"/>
                                  <w:marTop w:val="0"/>
                                  <w:marBottom w:val="0"/>
                                  <w:divBdr>
                                    <w:top w:val="none" w:sz="0" w:space="0" w:color="auto"/>
                                    <w:left w:val="none" w:sz="0" w:space="0" w:color="auto"/>
                                    <w:bottom w:val="none" w:sz="0" w:space="0" w:color="auto"/>
                                    <w:right w:val="none" w:sz="0" w:space="0" w:color="auto"/>
                                  </w:divBdr>
                                  <w:divsChild>
                                    <w:div w:id="1259753685">
                                      <w:marLeft w:val="0"/>
                                      <w:marRight w:val="0"/>
                                      <w:marTop w:val="0"/>
                                      <w:marBottom w:val="0"/>
                                      <w:divBdr>
                                        <w:top w:val="none" w:sz="0" w:space="0" w:color="auto"/>
                                        <w:left w:val="none" w:sz="0" w:space="0" w:color="auto"/>
                                        <w:bottom w:val="none" w:sz="0" w:space="0" w:color="auto"/>
                                        <w:right w:val="none" w:sz="0" w:space="0" w:color="auto"/>
                                      </w:divBdr>
                                      <w:divsChild>
                                        <w:div w:id="74474435">
                                          <w:marLeft w:val="0"/>
                                          <w:marRight w:val="0"/>
                                          <w:marTop w:val="0"/>
                                          <w:marBottom w:val="0"/>
                                          <w:divBdr>
                                            <w:top w:val="none" w:sz="0" w:space="0" w:color="auto"/>
                                            <w:left w:val="none" w:sz="0" w:space="0" w:color="auto"/>
                                            <w:bottom w:val="none" w:sz="0" w:space="0" w:color="auto"/>
                                            <w:right w:val="none" w:sz="0" w:space="0" w:color="auto"/>
                                          </w:divBdr>
                                          <w:divsChild>
                                            <w:div w:id="1824005432">
                                              <w:marLeft w:val="0"/>
                                              <w:marRight w:val="0"/>
                                              <w:marTop w:val="0"/>
                                              <w:marBottom w:val="0"/>
                                              <w:divBdr>
                                                <w:top w:val="none" w:sz="0" w:space="0" w:color="auto"/>
                                                <w:left w:val="none" w:sz="0" w:space="0" w:color="auto"/>
                                                <w:bottom w:val="none" w:sz="0" w:space="0" w:color="auto"/>
                                                <w:right w:val="none" w:sz="0" w:space="0" w:color="auto"/>
                                              </w:divBdr>
                                              <w:divsChild>
                                                <w:div w:id="1551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7099">
      <w:bodyDiv w:val="1"/>
      <w:marLeft w:val="0"/>
      <w:marRight w:val="0"/>
      <w:marTop w:val="0"/>
      <w:marBottom w:val="0"/>
      <w:divBdr>
        <w:top w:val="none" w:sz="0" w:space="0" w:color="auto"/>
        <w:left w:val="none" w:sz="0" w:space="0" w:color="auto"/>
        <w:bottom w:val="none" w:sz="0" w:space="0" w:color="auto"/>
        <w:right w:val="none" w:sz="0" w:space="0" w:color="auto"/>
      </w:divBdr>
    </w:div>
    <w:div w:id="700983296">
      <w:bodyDiv w:val="1"/>
      <w:marLeft w:val="0"/>
      <w:marRight w:val="0"/>
      <w:marTop w:val="0"/>
      <w:marBottom w:val="0"/>
      <w:divBdr>
        <w:top w:val="none" w:sz="0" w:space="0" w:color="auto"/>
        <w:left w:val="none" w:sz="0" w:space="0" w:color="auto"/>
        <w:bottom w:val="none" w:sz="0" w:space="0" w:color="auto"/>
        <w:right w:val="none" w:sz="0" w:space="0" w:color="auto"/>
      </w:divBdr>
    </w:div>
    <w:div w:id="702098088">
      <w:bodyDiv w:val="1"/>
      <w:marLeft w:val="0"/>
      <w:marRight w:val="0"/>
      <w:marTop w:val="0"/>
      <w:marBottom w:val="0"/>
      <w:divBdr>
        <w:top w:val="none" w:sz="0" w:space="0" w:color="auto"/>
        <w:left w:val="none" w:sz="0" w:space="0" w:color="auto"/>
        <w:bottom w:val="none" w:sz="0" w:space="0" w:color="auto"/>
        <w:right w:val="none" w:sz="0" w:space="0" w:color="auto"/>
      </w:divBdr>
    </w:div>
    <w:div w:id="709570378">
      <w:bodyDiv w:val="1"/>
      <w:marLeft w:val="0"/>
      <w:marRight w:val="0"/>
      <w:marTop w:val="0"/>
      <w:marBottom w:val="0"/>
      <w:divBdr>
        <w:top w:val="none" w:sz="0" w:space="0" w:color="auto"/>
        <w:left w:val="none" w:sz="0" w:space="0" w:color="auto"/>
        <w:bottom w:val="none" w:sz="0" w:space="0" w:color="auto"/>
        <w:right w:val="none" w:sz="0" w:space="0" w:color="auto"/>
      </w:divBdr>
    </w:div>
    <w:div w:id="712536614">
      <w:bodyDiv w:val="1"/>
      <w:marLeft w:val="0"/>
      <w:marRight w:val="0"/>
      <w:marTop w:val="0"/>
      <w:marBottom w:val="0"/>
      <w:divBdr>
        <w:top w:val="none" w:sz="0" w:space="0" w:color="auto"/>
        <w:left w:val="none" w:sz="0" w:space="0" w:color="auto"/>
        <w:bottom w:val="none" w:sz="0" w:space="0" w:color="auto"/>
        <w:right w:val="none" w:sz="0" w:space="0" w:color="auto"/>
      </w:divBdr>
    </w:div>
    <w:div w:id="783230445">
      <w:bodyDiv w:val="1"/>
      <w:marLeft w:val="0"/>
      <w:marRight w:val="0"/>
      <w:marTop w:val="0"/>
      <w:marBottom w:val="0"/>
      <w:divBdr>
        <w:top w:val="none" w:sz="0" w:space="0" w:color="auto"/>
        <w:left w:val="none" w:sz="0" w:space="0" w:color="auto"/>
        <w:bottom w:val="none" w:sz="0" w:space="0" w:color="auto"/>
        <w:right w:val="none" w:sz="0" w:space="0" w:color="auto"/>
      </w:divBdr>
    </w:div>
    <w:div w:id="812605422">
      <w:bodyDiv w:val="1"/>
      <w:marLeft w:val="0"/>
      <w:marRight w:val="0"/>
      <w:marTop w:val="0"/>
      <w:marBottom w:val="0"/>
      <w:divBdr>
        <w:top w:val="none" w:sz="0" w:space="0" w:color="auto"/>
        <w:left w:val="none" w:sz="0" w:space="0" w:color="auto"/>
        <w:bottom w:val="none" w:sz="0" w:space="0" w:color="auto"/>
        <w:right w:val="none" w:sz="0" w:space="0" w:color="auto"/>
      </w:divBdr>
    </w:div>
    <w:div w:id="835926992">
      <w:bodyDiv w:val="1"/>
      <w:marLeft w:val="0"/>
      <w:marRight w:val="0"/>
      <w:marTop w:val="0"/>
      <w:marBottom w:val="0"/>
      <w:divBdr>
        <w:top w:val="none" w:sz="0" w:space="0" w:color="auto"/>
        <w:left w:val="none" w:sz="0" w:space="0" w:color="auto"/>
        <w:bottom w:val="none" w:sz="0" w:space="0" w:color="auto"/>
        <w:right w:val="none" w:sz="0" w:space="0" w:color="auto"/>
      </w:divBdr>
    </w:div>
    <w:div w:id="856820133">
      <w:bodyDiv w:val="1"/>
      <w:marLeft w:val="0"/>
      <w:marRight w:val="0"/>
      <w:marTop w:val="0"/>
      <w:marBottom w:val="0"/>
      <w:divBdr>
        <w:top w:val="none" w:sz="0" w:space="0" w:color="auto"/>
        <w:left w:val="none" w:sz="0" w:space="0" w:color="auto"/>
        <w:bottom w:val="none" w:sz="0" w:space="0" w:color="auto"/>
        <w:right w:val="none" w:sz="0" w:space="0" w:color="auto"/>
      </w:divBdr>
    </w:div>
    <w:div w:id="857743992">
      <w:bodyDiv w:val="1"/>
      <w:marLeft w:val="0"/>
      <w:marRight w:val="0"/>
      <w:marTop w:val="0"/>
      <w:marBottom w:val="0"/>
      <w:divBdr>
        <w:top w:val="none" w:sz="0" w:space="0" w:color="auto"/>
        <w:left w:val="none" w:sz="0" w:space="0" w:color="auto"/>
        <w:bottom w:val="none" w:sz="0" w:space="0" w:color="auto"/>
        <w:right w:val="none" w:sz="0" w:space="0" w:color="auto"/>
      </w:divBdr>
    </w:div>
    <w:div w:id="876313872">
      <w:bodyDiv w:val="1"/>
      <w:marLeft w:val="0"/>
      <w:marRight w:val="0"/>
      <w:marTop w:val="0"/>
      <w:marBottom w:val="0"/>
      <w:divBdr>
        <w:top w:val="none" w:sz="0" w:space="0" w:color="auto"/>
        <w:left w:val="none" w:sz="0" w:space="0" w:color="auto"/>
        <w:bottom w:val="none" w:sz="0" w:space="0" w:color="auto"/>
        <w:right w:val="none" w:sz="0" w:space="0" w:color="auto"/>
      </w:divBdr>
    </w:div>
    <w:div w:id="931863474">
      <w:bodyDiv w:val="1"/>
      <w:marLeft w:val="0"/>
      <w:marRight w:val="0"/>
      <w:marTop w:val="0"/>
      <w:marBottom w:val="0"/>
      <w:divBdr>
        <w:top w:val="none" w:sz="0" w:space="0" w:color="auto"/>
        <w:left w:val="none" w:sz="0" w:space="0" w:color="auto"/>
        <w:bottom w:val="none" w:sz="0" w:space="0" w:color="auto"/>
        <w:right w:val="none" w:sz="0" w:space="0" w:color="auto"/>
      </w:divBdr>
    </w:div>
    <w:div w:id="932667694">
      <w:bodyDiv w:val="1"/>
      <w:marLeft w:val="0"/>
      <w:marRight w:val="0"/>
      <w:marTop w:val="0"/>
      <w:marBottom w:val="0"/>
      <w:divBdr>
        <w:top w:val="none" w:sz="0" w:space="0" w:color="auto"/>
        <w:left w:val="none" w:sz="0" w:space="0" w:color="auto"/>
        <w:bottom w:val="none" w:sz="0" w:space="0" w:color="auto"/>
        <w:right w:val="none" w:sz="0" w:space="0" w:color="auto"/>
      </w:divBdr>
    </w:div>
    <w:div w:id="937952620">
      <w:bodyDiv w:val="1"/>
      <w:marLeft w:val="0"/>
      <w:marRight w:val="0"/>
      <w:marTop w:val="0"/>
      <w:marBottom w:val="0"/>
      <w:divBdr>
        <w:top w:val="none" w:sz="0" w:space="0" w:color="auto"/>
        <w:left w:val="none" w:sz="0" w:space="0" w:color="auto"/>
        <w:bottom w:val="none" w:sz="0" w:space="0" w:color="auto"/>
        <w:right w:val="none" w:sz="0" w:space="0" w:color="auto"/>
      </w:divBdr>
    </w:div>
    <w:div w:id="938292890">
      <w:bodyDiv w:val="1"/>
      <w:marLeft w:val="0"/>
      <w:marRight w:val="0"/>
      <w:marTop w:val="0"/>
      <w:marBottom w:val="0"/>
      <w:divBdr>
        <w:top w:val="none" w:sz="0" w:space="0" w:color="auto"/>
        <w:left w:val="none" w:sz="0" w:space="0" w:color="auto"/>
        <w:bottom w:val="none" w:sz="0" w:space="0" w:color="auto"/>
        <w:right w:val="none" w:sz="0" w:space="0" w:color="auto"/>
      </w:divBdr>
    </w:div>
    <w:div w:id="943727947">
      <w:bodyDiv w:val="1"/>
      <w:marLeft w:val="0"/>
      <w:marRight w:val="0"/>
      <w:marTop w:val="0"/>
      <w:marBottom w:val="0"/>
      <w:divBdr>
        <w:top w:val="none" w:sz="0" w:space="0" w:color="auto"/>
        <w:left w:val="none" w:sz="0" w:space="0" w:color="auto"/>
        <w:bottom w:val="none" w:sz="0" w:space="0" w:color="auto"/>
        <w:right w:val="none" w:sz="0" w:space="0" w:color="auto"/>
      </w:divBdr>
    </w:div>
    <w:div w:id="972717357">
      <w:bodyDiv w:val="1"/>
      <w:marLeft w:val="0"/>
      <w:marRight w:val="0"/>
      <w:marTop w:val="0"/>
      <w:marBottom w:val="0"/>
      <w:divBdr>
        <w:top w:val="none" w:sz="0" w:space="0" w:color="auto"/>
        <w:left w:val="none" w:sz="0" w:space="0" w:color="auto"/>
        <w:bottom w:val="none" w:sz="0" w:space="0" w:color="auto"/>
        <w:right w:val="none" w:sz="0" w:space="0" w:color="auto"/>
      </w:divBdr>
    </w:div>
    <w:div w:id="978339482">
      <w:bodyDiv w:val="1"/>
      <w:marLeft w:val="0"/>
      <w:marRight w:val="0"/>
      <w:marTop w:val="0"/>
      <w:marBottom w:val="0"/>
      <w:divBdr>
        <w:top w:val="none" w:sz="0" w:space="0" w:color="auto"/>
        <w:left w:val="none" w:sz="0" w:space="0" w:color="auto"/>
        <w:bottom w:val="none" w:sz="0" w:space="0" w:color="auto"/>
        <w:right w:val="none" w:sz="0" w:space="0" w:color="auto"/>
      </w:divBdr>
    </w:div>
    <w:div w:id="978419039">
      <w:bodyDiv w:val="1"/>
      <w:marLeft w:val="0"/>
      <w:marRight w:val="0"/>
      <w:marTop w:val="0"/>
      <w:marBottom w:val="0"/>
      <w:divBdr>
        <w:top w:val="none" w:sz="0" w:space="0" w:color="auto"/>
        <w:left w:val="none" w:sz="0" w:space="0" w:color="auto"/>
        <w:bottom w:val="none" w:sz="0" w:space="0" w:color="auto"/>
        <w:right w:val="none" w:sz="0" w:space="0" w:color="auto"/>
      </w:divBdr>
    </w:div>
    <w:div w:id="993879069">
      <w:bodyDiv w:val="1"/>
      <w:marLeft w:val="0"/>
      <w:marRight w:val="0"/>
      <w:marTop w:val="0"/>
      <w:marBottom w:val="0"/>
      <w:divBdr>
        <w:top w:val="none" w:sz="0" w:space="0" w:color="auto"/>
        <w:left w:val="none" w:sz="0" w:space="0" w:color="auto"/>
        <w:bottom w:val="none" w:sz="0" w:space="0" w:color="auto"/>
        <w:right w:val="none" w:sz="0" w:space="0" w:color="auto"/>
      </w:divBdr>
    </w:div>
    <w:div w:id="999307798">
      <w:bodyDiv w:val="1"/>
      <w:marLeft w:val="0"/>
      <w:marRight w:val="0"/>
      <w:marTop w:val="0"/>
      <w:marBottom w:val="0"/>
      <w:divBdr>
        <w:top w:val="none" w:sz="0" w:space="0" w:color="auto"/>
        <w:left w:val="none" w:sz="0" w:space="0" w:color="auto"/>
        <w:bottom w:val="none" w:sz="0" w:space="0" w:color="auto"/>
        <w:right w:val="none" w:sz="0" w:space="0" w:color="auto"/>
      </w:divBdr>
    </w:div>
    <w:div w:id="1052538848">
      <w:bodyDiv w:val="1"/>
      <w:marLeft w:val="0"/>
      <w:marRight w:val="0"/>
      <w:marTop w:val="0"/>
      <w:marBottom w:val="0"/>
      <w:divBdr>
        <w:top w:val="none" w:sz="0" w:space="0" w:color="auto"/>
        <w:left w:val="none" w:sz="0" w:space="0" w:color="auto"/>
        <w:bottom w:val="none" w:sz="0" w:space="0" w:color="auto"/>
        <w:right w:val="none" w:sz="0" w:space="0" w:color="auto"/>
      </w:divBdr>
    </w:div>
    <w:div w:id="1053575494">
      <w:bodyDiv w:val="1"/>
      <w:marLeft w:val="0"/>
      <w:marRight w:val="0"/>
      <w:marTop w:val="0"/>
      <w:marBottom w:val="0"/>
      <w:divBdr>
        <w:top w:val="none" w:sz="0" w:space="0" w:color="auto"/>
        <w:left w:val="none" w:sz="0" w:space="0" w:color="auto"/>
        <w:bottom w:val="none" w:sz="0" w:space="0" w:color="auto"/>
        <w:right w:val="none" w:sz="0" w:space="0" w:color="auto"/>
      </w:divBdr>
    </w:div>
    <w:div w:id="1065178239">
      <w:bodyDiv w:val="1"/>
      <w:marLeft w:val="0"/>
      <w:marRight w:val="0"/>
      <w:marTop w:val="0"/>
      <w:marBottom w:val="0"/>
      <w:divBdr>
        <w:top w:val="none" w:sz="0" w:space="0" w:color="auto"/>
        <w:left w:val="none" w:sz="0" w:space="0" w:color="auto"/>
        <w:bottom w:val="none" w:sz="0" w:space="0" w:color="auto"/>
        <w:right w:val="none" w:sz="0" w:space="0" w:color="auto"/>
      </w:divBdr>
    </w:div>
    <w:div w:id="1071003235">
      <w:bodyDiv w:val="1"/>
      <w:marLeft w:val="0"/>
      <w:marRight w:val="0"/>
      <w:marTop w:val="0"/>
      <w:marBottom w:val="0"/>
      <w:divBdr>
        <w:top w:val="none" w:sz="0" w:space="0" w:color="auto"/>
        <w:left w:val="none" w:sz="0" w:space="0" w:color="auto"/>
        <w:bottom w:val="none" w:sz="0" w:space="0" w:color="auto"/>
        <w:right w:val="none" w:sz="0" w:space="0" w:color="auto"/>
      </w:divBdr>
    </w:div>
    <w:div w:id="1078794458">
      <w:bodyDiv w:val="1"/>
      <w:marLeft w:val="0"/>
      <w:marRight w:val="0"/>
      <w:marTop w:val="0"/>
      <w:marBottom w:val="0"/>
      <w:divBdr>
        <w:top w:val="none" w:sz="0" w:space="0" w:color="auto"/>
        <w:left w:val="none" w:sz="0" w:space="0" w:color="auto"/>
        <w:bottom w:val="none" w:sz="0" w:space="0" w:color="auto"/>
        <w:right w:val="none" w:sz="0" w:space="0" w:color="auto"/>
      </w:divBdr>
    </w:div>
    <w:div w:id="1080323129">
      <w:bodyDiv w:val="1"/>
      <w:marLeft w:val="0"/>
      <w:marRight w:val="0"/>
      <w:marTop w:val="0"/>
      <w:marBottom w:val="0"/>
      <w:divBdr>
        <w:top w:val="none" w:sz="0" w:space="0" w:color="auto"/>
        <w:left w:val="none" w:sz="0" w:space="0" w:color="auto"/>
        <w:bottom w:val="none" w:sz="0" w:space="0" w:color="auto"/>
        <w:right w:val="none" w:sz="0" w:space="0" w:color="auto"/>
      </w:divBdr>
    </w:div>
    <w:div w:id="1087917781">
      <w:bodyDiv w:val="1"/>
      <w:marLeft w:val="0"/>
      <w:marRight w:val="0"/>
      <w:marTop w:val="0"/>
      <w:marBottom w:val="0"/>
      <w:divBdr>
        <w:top w:val="none" w:sz="0" w:space="0" w:color="auto"/>
        <w:left w:val="none" w:sz="0" w:space="0" w:color="auto"/>
        <w:bottom w:val="none" w:sz="0" w:space="0" w:color="auto"/>
        <w:right w:val="none" w:sz="0" w:space="0" w:color="auto"/>
      </w:divBdr>
    </w:div>
    <w:div w:id="1118181967">
      <w:bodyDiv w:val="1"/>
      <w:marLeft w:val="0"/>
      <w:marRight w:val="0"/>
      <w:marTop w:val="0"/>
      <w:marBottom w:val="0"/>
      <w:divBdr>
        <w:top w:val="none" w:sz="0" w:space="0" w:color="auto"/>
        <w:left w:val="none" w:sz="0" w:space="0" w:color="auto"/>
        <w:bottom w:val="none" w:sz="0" w:space="0" w:color="auto"/>
        <w:right w:val="none" w:sz="0" w:space="0" w:color="auto"/>
      </w:divBdr>
    </w:div>
    <w:div w:id="1142573936">
      <w:bodyDiv w:val="1"/>
      <w:marLeft w:val="0"/>
      <w:marRight w:val="0"/>
      <w:marTop w:val="0"/>
      <w:marBottom w:val="0"/>
      <w:divBdr>
        <w:top w:val="none" w:sz="0" w:space="0" w:color="auto"/>
        <w:left w:val="none" w:sz="0" w:space="0" w:color="auto"/>
        <w:bottom w:val="none" w:sz="0" w:space="0" w:color="auto"/>
        <w:right w:val="none" w:sz="0" w:space="0" w:color="auto"/>
      </w:divBdr>
    </w:div>
    <w:div w:id="1145004380">
      <w:bodyDiv w:val="1"/>
      <w:marLeft w:val="0"/>
      <w:marRight w:val="0"/>
      <w:marTop w:val="0"/>
      <w:marBottom w:val="0"/>
      <w:divBdr>
        <w:top w:val="none" w:sz="0" w:space="0" w:color="auto"/>
        <w:left w:val="none" w:sz="0" w:space="0" w:color="auto"/>
        <w:bottom w:val="none" w:sz="0" w:space="0" w:color="auto"/>
        <w:right w:val="none" w:sz="0" w:space="0" w:color="auto"/>
      </w:divBdr>
    </w:div>
    <w:div w:id="1193763858">
      <w:bodyDiv w:val="1"/>
      <w:marLeft w:val="0"/>
      <w:marRight w:val="0"/>
      <w:marTop w:val="0"/>
      <w:marBottom w:val="0"/>
      <w:divBdr>
        <w:top w:val="none" w:sz="0" w:space="0" w:color="auto"/>
        <w:left w:val="none" w:sz="0" w:space="0" w:color="auto"/>
        <w:bottom w:val="none" w:sz="0" w:space="0" w:color="auto"/>
        <w:right w:val="none" w:sz="0" w:space="0" w:color="auto"/>
      </w:divBdr>
    </w:div>
    <w:div w:id="1214537075">
      <w:bodyDiv w:val="1"/>
      <w:marLeft w:val="0"/>
      <w:marRight w:val="0"/>
      <w:marTop w:val="0"/>
      <w:marBottom w:val="0"/>
      <w:divBdr>
        <w:top w:val="none" w:sz="0" w:space="0" w:color="auto"/>
        <w:left w:val="none" w:sz="0" w:space="0" w:color="auto"/>
        <w:bottom w:val="none" w:sz="0" w:space="0" w:color="auto"/>
        <w:right w:val="none" w:sz="0" w:space="0" w:color="auto"/>
      </w:divBdr>
    </w:div>
    <w:div w:id="1226913453">
      <w:bodyDiv w:val="1"/>
      <w:marLeft w:val="0"/>
      <w:marRight w:val="0"/>
      <w:marTop w:val="0"/>
      <w:marBottom w:val="0"/>
      <w:divBdr>
        <w:top w:val="none" w:sz="0" w:space="0" w:color="auto"/>
        <w:left w:val="none" w:sz="0" w:space="0" w:color="auto"/>
        <w:bottom w:val="none" w:sz="0" w:space="0" w:color="auto"/>
        <w:right w:val="none" w:sz="0" w:space="0" w:color="auto"/>
      </w:divBdr>
    </w:div>
    <w:div w:id="1227491482">
      <w:bodyDiv w:val="1"/>
      <w:marLeft w:val="0"/>
      <w:marRight w:val="0"/>
      <w:marTop w:val="0"/>
      <w:marBottom w:val="0"/>
      <w:divBdr>
        <w:top w:val="none" w:sz="0" w:space="0" w:color="auto"/>
        <w:left w:val="none" w:sz="0" w:space="0" w:color="auto"/>
        <w:bottom w:val="none" w:sz="0" w:space="0" w:color="auto"/>
        <w:right w:val="none" w:sz="0" w:space="0" w:color="auto"/>
      </w:divBdr>
    </w:div>
    <w:div w:id="1242791406">
      <w:bodyDiv w:val="1"/>
      <w:marLeft w:val="0"/>
      <w:marRight w:val="0"/>
      <w:marTop w:val="0"/>
      <w:marBottom w:val="0"/>
      <w:divBdr>
        <w:top w:val="none" w:sz="0" w:space="0" w:color="auto"/>
        <w:left w:val="none" w:sz="0" w:space="0" w:color="auto"/>
        <w:bottom w:val="none" w:sz="0" w:space="0" w:color="auto"/>
        <w:right w:val="none" w:sz="0" w:space="0" w:color="auto"/>
      </w:divBdr>
    </w:div>
    <w:div w:id="1249463527">
      <w:bodyDiv w:val="1"/>
      <w:marLeft w:val="0"/>
      <w:marRight w:val="0"/>
      <w:marTop w:val="0"/>
      <w:marBottom w:val="0"/>
      <w:divBdr>
        <w:top w:val="none" w:sz="0" w:space="0" w:color="auto"/>
        <w:left w:val="none" w:sz="0" w:space="0" w:color="auto"/>
        <w:bottom w:val="none" w:sz="0" w:space="0" w:color="auto"/>
        <w:right w:val="none" w:sz="0" w:space="0" w:color="auto"/>
      </w:divBdr>
    </w:div>
    <w:div w:id="1249535818">
      <w:bodyDiv w:val="1"/>
      <w:marLeft w:val="0"/>
      <w:marRight w:val="0"/>
      <w:marTop w:val="0"/>
      <w:marBottom w:val="0"/>
      <w:divBdr>
        <w:top w:val="none" w:sz="0" w:space="0" w:color="auto"/>
        <w:left w:val="none" w:sz="0" w:space="0" w:color="auto"/>
        <w:bottom w:val="none" w:sz="0" w:space="0" w:color="auto"/>
        <w:right w:val="none" w:sz="0" w:space="0" w:color="auto"/>
      </w:divBdr>
    </w:div>
    <w:div w:id="1291934798">
      <w:bodyDiv w:val="1"/>
      <w:marLeft w:val="0"/>
      <w:marRight w:val="0"/>
      <w:marTop w:val="0"/>
      <w:marBottom w:val="0"/>
      <w:divBdr>
        <w:top w:val="none" w:sz="0" w:space="0" w:color="auto"/>
        <w:left w:val="none" w:sz="0" w:space="0" w:color="auto"/>
        <w:bottom w:val="none" w:sz="0" w:space="0" w:color="auto"/>
        <w:right w:val="none" w:sz="0" w:space="0" w:color="auto"/>
      </w:divBdr>
    </w:div>
    <w:div w:id="1293751260">
      <w:bodyDiv w:val="1"/>
      <w:marLeft w:val="0"/>
      <w:marRight w:val="0"/>
      <w:marTop w:val="0"/>
      <w:marBottom w:val="0"/>
      <w:divBdr>
        <w:top w:val="none" w:sz="0" w:space="0" w:color="auto"/>
        <w:left w:val="none" w:sz="0" w:space="0" w:color="auto"/>
        <w:bottom w:val="none" w:sz="0" w:space="0" w:color="auto"/>
        <w:right w:val="none" w:sz="0" w:space="0" w:color="auto"/>
      </w:divBdr>
    </w:div>
    <w:div w:id="1326474097">
      <w:bodyDiv w:val="1"/>
      <w:marLeft w:val="0"/>
      <w:marRight w:val="0"/>
      <w:marTop w:val="0"/>
      <w:marBottom w:val="0"/>
      <w:divBdr>
        <w:top w:val="none" w:sz="0" w:space="0" w:color="auto"/>
        <w:left w:val="none" w:sz="0" w:space="0" w:color="auto"/>
        <w:bottom w:val="none" w:sz="0" w:space="0" w:color="auto"/>
        <w:right w:val="none" w:sz="0" w:space="0" w:color="auto"/>
      </w:divBdr>
      <w:divsChild>
        <w:div w:id="602998379">
          <w:marLeft w:val="0"/>
          <w:marRight w:val="0"/>
          <w:marTop w:val="0"/>
          <w:marBottom w:val="0"/>
          <w:divBdr>
            <w:top w:val="none" w:sz="0" w:space="0" w:color="auto"/>
            <w:left w:val="none" w:sz="0" w:space="0" w:color="auto"/>
            <w:bottom w:val="none" w:sz="0" w:space="0" w:color="auto"/>
            <w:right w:val="none" w:sz="0" w:space="0" w:color="auto"/>
          </w:divBdr>
          <w:divsChild>
            <w:div w:id="848719514">
              <w:marLeft w:val="0"/>
              <w:marRight w:val="0"/>
              <w:marTop w:val="0"/>
              <w:marBottom w:val="0"/>
              <w:divBdr>
                <w:top w:val="none" w:sz="0" w:space="0" w:color="auto"/>
                <w:left w:val="none" w:sz="0" w:space="0" w:color="auto"/>
                <w:bottom w:val="none" w:sz="0" w:space="0" w:color="auto"/>
                <w:right w:val="none" w:sz="0" w:space="0" w:color="auto"/>
              </w:divBdr>
              <w:divsChild>
                <w:div w:id="1039935699">
                  <w:marLeft w:val="0"/>
                  <w:marRight w:val="0"/>
                  <w:marTop w:val="0"/>
                  <w:marBottom w:val="0"/>
                  <w:divBdr>
                    <w:top w:val="none" w:sz="0" w:space="0" w:color="auto"/>
                    <w:left w:val="none" w:sz="0" w:space="0" w:color="auto"/>
                    <w:bottom w:val="none" w:sz="0" w:space="0" w:color="auto"/>
                    <w:right w:val="none" w:sz="0" w:space="0" w:color="auto"/>
                  </w:divBdr>
                  <w:divsChild>
                    <w:div w:id="237131690">
                      <w:marLeft w:val="0"/>
                      <w:marRight w:val="0"/>
                      <w:marTop w:val="0"/>
                      <w:marBottom w:val="0"/>
                      <w:divBdr>
                        <w:top w:val="none" w:sz="0" w:space="0" w:color="auto"/>
                        <w:left w:val="none" w:sz="0" w:space="0" w:color="auto"/>
                        <w:bottom w:val="none" w:sz="0" w:space="0" w:color="auto"/>
                        <w:right w:val="none" w:sz="0" w:space="0" w:color="auto"/>
                      </w:divBdr>
                      <w:divsChild>
                        <w:div w:id="331178648">
                          <w:marLeft w:val="0"/>
                          <w:marRight w:val="0"/>
                          <w:marTop w:val="0"/>
                          <w:marBottom w:val="0"/>
                          <w:divBdr>
                            <w:top w:val="none" w:sz="0" w:space="0" w:color="auto"/>
                            <w:left w:val="none" w:sz="0" w:space="0" w:color="auto"/>
                            <w:bottom w:val="none" w:sz="0" w:space="0" w:color="auto"/>
                            <w:right w:val="none" w:sz="0" w:space="0" w:color="auto"/>
                          </w:divBdr>
                          <w:divsChild>
                            <w:div w:id="660040639">
                              <w:marLeft w:val="570"/>
                              <w:marRight w:val="0"/>
                              <w:marTop w:val="0"/>
                              <w:marBottom w:val="0"/>
                              <w:divBdr>
                                <w:top w:val="none" w:sz="0" w:space="0" w:color="auto"/>
                                <w:left w:val="none" w:sz="0" w:space="0" w:color="auto"/>
                                <w:bottom w:val="none" w:sz="0" w:space="0" w:color="auto"/>
                                <w:right w:val="none" w:sz="0" w:space="0" w:color="auto"/>
                              </w:divBdr>
                              <w:divsChild>
                                <w:div w:id="81729325">
                                  <w:marLeft w:val="0"/>
                                  <w:marRight w:val="0"/>
                                  <w:marTop w:val="0"/>
                                  <w:marBottom w:val="0"/>
                                  <w:divBdr>
                                    <w:top w:val="none" w:sz="0" w:space="0" w:color="auto"/>
                                    <w:left w:val="none" w:sz="0" w:space="0" w:color="auto"/>
                                    <w:bottom w:val="none" w:sz="0" w:space="0" w:color="auto"/>
                                    <w:right w:val="none" w:sz="0" w:space="0" w:color="auto"/>
                                  </w:divBdr>
                                  <w:divsChild>
                                    <w:div w:id="848105373">
                                      <w:marLeft w:val="0"/>
                                      <w:marRight w:val="0"/>
                                      <w:marTop w:val="0"/>
                                      <w:marBottom w:val="0"/>
                                      <w:divBdr>
                                        <w:top w:val="none" w:sz="0" w:space="0" w:color="auto"/>
                                        <w:left w:val="none" w:sz="0" w:space="0" w:color="auto"/>
                                        <w:bottom w:val="none" w:sz="0" w:space="0" w:color="auto"/>
                                        <w:right w:val="none" w:sz="0" w:space="0" w:color="auto"/>
                                      </w:divBdr>
                                      <w:divsChild>
                                        <w:div w:id="48578803">
                                          <w:marLeft w:val="0"/>
                                          <w:marRight w:val="0"/>
                                          <w:marTop w:val="0"/>
                                          <w:marBottom w:val="0"/>
                                          <w:divBdr>
                                            <w:top w:val="none" w:sz="0" w:space="0" w:color="auto"/>
                                            <w:left w:val="none" w:sz="0" w:space="0" w:color="auto"/>
                                            <w:bottom w:val="none" w:sz="0" w:space="0" w:color="auto"/>
                                            <w:right w:val="none" w:sz="0" w:space="0" w:color="auto"/>
                                          </w:divBdr>
                                          <w:divsChild>
                                            <w:div w:id="435715548">
                                              <w:marLeft w:val="0"/>
                                              <w:marRight w:val="0"/>
                                              <w:marTop w:val="0"/>
                                              <w:marBottom w:val="0"/>
                                              <w:divBdr>
                                                <w:top w:val="none" w:sz="0" w:space="0" w:color="auto"/>
                                                <w:left w:val="none" w:sz="0" w:space="0" w:color="auto"/>
                                                <w:bottom w:val="none" w:sz="0" w:space="0" w:color="auto"/>
                                                <w:right w:val="none" w:sz="0" w:space="0" w:color="auto"/>
                                              </w:divBdr>
                                              <w:divsChild>
                                                <w:div w:id="19129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647769">
          <w:marLeft w:val="0"/>
          <w:marRight w:val="0"/>
          <w:marTop w:val="0"/>
          <w:marBottom w:val="0"/>
          <w:divBdr>
            <w:top w:val="none" w:sz="0" w:space="0" w:color="auto"/>
            <w:left w:val="none" w:sz="0" w:space="0" w:color="auto"/>
            <w:bottom w:val="none" w:sz="0" w:space="0" w:color="auto"/>
            <w:right w:val="none" w:sz="0" w:space="0" w:color="auto"/>
          </w:divBdr>
          <w:divsChild>
            <w:div w:id="453910685">
              <w:marLeft w:val="0"/>
              <w:marRight w:val="0"/>
              <w:marTop w:val="0"/>
              <w:marBottom w:val="0"/>
              <w:divBdr>
                <w:top w:val="none" w:sz="0" w:space="0" w:color="auto"/>
                <w:left w:val="none" w:sz="0" w:space="0" w:color="auto"/>
                <w:bottom w:val="none" w:sz="0" w:space="0" w:color="auto"/>
                <w:right w:val="none" w:sz="0" w:space="0" w:color="auto"/>
              </w:divBdr>
              <w:divsChild>
                <w:div w:id="1703900682">
                  <w:marLeft w:val="0"/>
                  <w:marRight w:val="0"/>
                  <w:marTop w:val="0"/>
                  <w:marBottom w:val="0"/>
                  <w:divBdr>
                    <w:top w:val="none" w:sz="0" w:space="0" w:color="auto"/>
                    <w:left w:val="none" w:sz="0" w:space="0" w:color="auto"/>
                    <w:bottom w:val="none" w:sz="0" w:space="0" w:color="auto"/>
                    <w:right w:val="none" w:sz="0" w:space="0" w:color="auto"/>
                  </w:divBdr>
                  <w:divsChild>
                    <w:div w:id="362098697">
                      <w:marLeft w:val="0"/>
                      <w:marRight w:val="0"/>
                      <w:marTop w:val="0"/>
                      <w:marBottom w:val="0"/>
                      <w:divBdr>
                        <w:top w:val="none" w:sz="0" w:space="0" w:color="auto"/>
                        <w:left w:val="none" w:sz="0" w:space="0" w:color="auto"/>
                        <w:bottom w:val="none" w:sz="0" w:space="0" w:color="auto"/>
                        <w:right w:val="none" w:sz="0" w:space="0" w:color="auto"/>
                      </w:divBdr>
                      <w:divsChild>
                        <w:div w:id="400955985">
                          <w:marLeft w:val="0"/>
                          <w:marRight w:val="0"/>
                          <w:marTop w:val="0"/>
                          <w:marBottom w:val="0"/>
                          <w:divBdr>
                            <w:top w:val="none" w:sz="0" w:space="0" w:color="auto"/>
                            <w:left w:val="none" w:sz="0" w:space="0" w:color="auto"/>
                            <w:bottom w:val="none" w:sz="0" w:space="0" w:color="auto"/>
                            <w:right w:val="none" w:sz="0" w:space="0" w:color="auto"/>
                          </w:divBdr>
                          <w:divsChild>
                            <w:div w:id="1649434958">
                              <w:marLeft w:val="570"/>
                              <w:marRight w:val="0"/>
                              <w:marTop w:val="0"/>
                              <w:marBottom w:val="0"/>
                              <w:divBdr>
                                <w:top w:val="none" w:sz="0" w:space="0" w:color="auto"/>
                                <w:left w:val="none" w:sz="0" w:space="0" w:color="auto"/>
                                <w:bottom w:val="none" w:sz="0" w:space="0" w:color="auto"/>
                                <w:right w:val="none" w:sz="0" w:space="0" w:color="auto"/>
                              </w:divBdr>
                              <w:divsChild>
                                <w:div w:id="946620697">
                                  <w:marLeft w:val="0"/>
                                  <w:marRight w:val="0"/>
                                  <w:marTop w:val="0"/>
                                  <w:marBottom w:val="0"/>
                                  <w:divBdr>
                                    <w:top w:val="none" w:sz="0" w:space="0" w:color="auto"/>
                                    <w:left w:val="none" w:sz="0" w:space="0" w:color="auto"/>
                                    <w:bottom w:val="none" w:sz="0" w:space="0" w:color="auto"/>
                                    <w:right w:val="none" w:sz="0" w:space="0" w:color="auto"/>
                                  </w:divBdr>
                                  <w:divsChild>
                                    <w:div w:id="393892628">
                                      <w:marLeft w:val="0"/>
                                      <w:marRight w:val="0"/>
                                      <w:marTop w:val="0"/>
                                      <w:marBottom w:val="0"/>
                                      <w:divBdr>
                                        <w:top w:val="none" w:sz="0" w:space="0" w:color="auto"/>
                                        <w:left w:val="none" w:sz="0" w:space="0" w:color="auto"/>
                                        <w:bottom w:val="none" w:sz="0" w:space="0" w:color="auto"/>
                                        <w:right w:val="none" w:sz="0" w:space="0" w:color="auto"/>
                                      </w:divBdr>
                                      <w:divsChild>
                                        <w:div w:id="1015109525">
                                          <w:marLeft w:val="0"/>
                                          <w:marRight w:val="0"/>
                                          <w:marTop w:val="0"/>
                                          <w:marBottom w:val="0"/>
                                          <w:divBdr>
                                            <w:top w:val="none" w:sz="0" w:space="0" w:color="auto"/>
                                            <w:left w:val="none" w:sz="0" w:space="0" w:color="auto"/>
                                            <w:bottom w:val="none" w:sz="0" w:space="0" w:color="auto"/>
                                            <w:right w:val="none" w:sz="0" w:space="0" w:color="auto"/>
                                          </w:divBdr>
                                          <w:divsChild>
                                            <w:div w:id="1387535230">
                                              <w:marLeft w:val="0"/>
                                              <w:marRight w:val="0"/>
                                              <w:marTop w:val="0"/>
                                              <w:marBottom w:val="0"/>
                                              <w:divBdr>
                                                <w:top w:val="none" w:sz="0" w:space="0" w:color="auto"/>
                                                <w:left w:val="none" w:sz="0" w:space="0" w:color="auto"/>
                                                <w:bottom w:val="none" w:sz="0" w:space="0" w:color="auto"/>
                                                <w:right w:val="none" w:sz="0" w:space="0" w:color="auto"/>
                                              </w:divBdr>
                                              <w:divsChild>
                                                <w:div w:id="8793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249588">
      <w:bodyDiv w:val="1"/>
      <w:marLeft w:val="0"/>
      <w:marRight w:val="0"/>
      <w:marTop w:val="0"/>
      <w:marBottom w:val="0"/>
      <w:divBdr>
        <w:top w:val="none" w:sz="0" w:space="0" w:color="auto"/>
        <w:left w:val="none" w:sz="0" w:space="0" w:color="auto"/>
        <w:bottom w:val="none" w:sz="0" w:space="0" w:color="auto"/>
        <w:right w:val="none" w:sz="0" w:space="0" w:color="auto"/>
      </w:divBdr>
    </w:div>
    <w:div w:id="1371761614">
      <w:bodyDiv w:val="1"/>
      <w:marLeft w:val="0"/>
      <w:marRight w:val="0"/>
      <w:marTop w:val="0"/>
      <w:marBottom w:val="0"/>
      <w:divBdr>
        <w:top w:val="none" w:sz="0" w:space="0" w:color="auto"/>
        <w:left w:val="none" w:sz="0" w:space="0" w:color="auto"/>
        <w:bottom w:val="none" w:sz="0" w:space="0" w:color="auto"/>
        <w:right w:val="none" w:sz="0" w:space="0" w:color="auto"/>
      </w:divBdr>
    </w:div>
    <w:div w:id="1405838595">
      <w:bodyDiv w:val="1"/>
      <w:marLeft w:val="0"/>
      <w:marRight w:val="0"/>
      <w:marTop w:val="0"/>
      <w:marBottom w:val="0"/>
      <w:divBdr>
        <w:top w:val="none" w:sz="0" w:space="0" w:color="auto"/>
        <w:left w:val="none" w:sz="0" w:space="0" w:color="auto"/>
        <w:bottom w:val="none" w:sz="0" w:space="0" w:color="auto"/>
        <w:right w:val="none" w:sz="0" w:space="0" w:color="auto"/>
      </w:divBdr>
    </w:div>
    <w:div w:id="1499149938">
      <w:bodyDiv w:val="1"/>
      <w:marLeft w:val="0"/>
      <w:marRight w:val="0"/>
      <w:marTop w:val="0"/>
      <w:marBottom w:val="0"/>
      <w:divBdr>
        <w:top w:val="none" w:sz="0" w:space="0" w:color="auto"/>
        <w:left w:val="none" w:sz="0" w:space="0" w:color="auto"/>
        <w:bottom w:val="none" w:sz="0" w:space="0" w:color="auto"/>
        <w:right w:val="none" w:sz="0" w:space="0" w:color="auto"/>
      </w:divBdr>
    </w:div>
    <w:div w:id="1530990060">
      <w:bodyDiv w:val="1"/>
      <w:marLeft w:val="0"/>
      <w:marRight w:val="0"/>
      <w:marTop w:val="0"/>
      <w:marBottom w:val="0"/>
      <w:divBdr>
        <w:top w:val="none" w:sz="0" w:space="0" w:color="auto"/>
        <w:left w:val="none" w:sz="0" w:space="0" w:color="auto"/>
        <w:bottom w:val="none" w:sz="0" w:space="0" w:color="auto"/>
        <w:right w:val="none" w:sz="0" w:space="0" w:color="auto"/>
      </w:divBdr>
    </w:div>
    <w:div w:id="1556773949">
      <w:bodyDiv w:val="1"/>
      <w:marLeft w:val="0"/>
      <w:marRight w:val="0"/>
      <w:marTop w:val="0"/>
      <w:marBottom w:val="0"/>
      <w:divBdr>
        <w:top w:val="none" w:sz="0" w:space="0" w:color="auto"/>
        <w:left w:val="none" w:sz="0" w:space="0" w:color="auto"/>
        <w:bottom w:val="none" w:sz="0" w:space="0" w:color="auto"/>
        <w:right w:val="none" w:sz="0" w:space="0" w:color="auto"/>
      </w:divBdr>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
    <w:div w:id="1582983881">
      <w:bodyDiv w:val="1"/>
      <w:marLeft w:val="0"/>
      <w:marRight w:val="0"/>
      <w:marTop w:val="0"/>
      <w:marBottom w:val="0"/>
      <w:divBdr>
        <w:top w:val="none" w:sz="0" w:space="0" w:color="auto"/>
        <w:left w:val="none" w:sz="0" w:space="0" w:color="auto"/>
        <w:bottom w:val="none" w:sz="0" w:space="0" w:color="auto"/>
        <w:right w:val="none" w:sz="0" w:space="0" w:color="auto"/>
      </w:divBdr>
    </w:div>
    <w:div w:id="1600142548">
      <w:bodyDiv w:val="1"/>
      <w:marLeft w:val="0"/>
      <w:marRight w:val="0"/>
      <w:marTop w:val="0"/>
      <w:marBottom w:val="0"/>
      <w:divBdr>
        <w:top w:val="none" w:sz="0" w:space="0" w:color="auto"/>
        <w:left w:val="none" w:sz="0" w:space="0" w:color="auto"/>
        <w:bottom w:val="none" w:sz="0" w:space="0" w:color="auto"/>
        <w:right w:val="none" w:sz="0" w:space="0" w:color="auto"/>
      </w:divBdr>
    </w:div>
    <w:div w:id="1602373989">
      <w:bodyDiv w:val="1"/>
      <w:marLeft w:val="0"/>
      <w:marRight w:val="0"/>
      <w:marTop w:val="0"/>
      <w:marBottom w:val="0"/>
      <w:divBdr>
        <w:top w:val="none" w:sz="0" w:space="0" w:color="auto"/>
        <w:left w:val="none" w:sz="0" w:space="0" w:color="auto"/>
        <w:bottom w:val="none" w:sz="0" w:space="0" w:color="auto"/>
        <w:right w:val="none" w:sz="0" w:space="0" w:color="auto"/>
      </w:divBdr>
    </w:div>
    <w:div w:id="1631277858">
      <w:bodyDiv w:val="1"/>
      <w:marLeft w:val="0"/>
      <w:marRight w:val="0"/>
      <w:marTop w:val="0"/>
      <w:marBottom w:val="0"/>
      <w:divBdr>
        <w:top w:val="none" w:sz="0" w:space="0" w:color="auto"/>
        <w:left w:val="none" w:sz="0" w:space="0" w:color="auto"/>
        <w:bottom w:val="none" w:sz="0" w:space="0" w:color="auto"/>
        <w:right w:val="none" w:sz="0" w:space="0" w:color="auto"/>
      </w:divBdr>
    </w:div>
    <w:div w:id="1661349858">
      <w:bodyDiv w:val="1"/>
      <w:marLeft w:val="0"/>
      <w:marRight w:val="0"/>
      <w:marTop w:val="0"/>
      <w:marBottom w:val="0"/>
      <w:divBdr>
        <w:top w:val="none" w:sz="0" w:space="0" w:color="auto"/>
        <w:left w:val="none" w:sz="0" w:space="0" w:color="auto"/>
        <w:bottom w:val="none" w:sz="0" w:space="0" w:color="auto"/>
        <w:right w:val="none" w:sz="0" w:space="0" w:color="auto"/>
      </w:divBdr>
    </w:div>
    <w:div w:id="1676418940">
      <w:bodyDiv w:val="1"/>
      <w:marLeft w:val="0"/>
      <w:marRight w:val="0"/>
      <w:marTop w:val="0"/>
      <w:marBottom w:val="0"/>
      <w:divBdr>
        <w:top w:val="none" w:sz="0" w:space="0" w:color="auto"/>
        <w:left w:val="none" w:sz="0" w:space="0" w:color="auto"/>
        <w:bottom w:val="none" w:sz="0" w:space="0" w:color="auto"/>
        <w:right w:val="none" w:sz="0" w:space="0" w:color="auto"/>
      </w:divBdr>
    </w:div>
    <w:div w:id="1687946211">
      <w:bodyDiv w:val="1"/>
      <w:marLeft w:val="0"/>
      <w:marRight w:val="0"/>
      <w:marTop w:val="0"/>
      <w:marBottom w:val="0"/>
      <w:divBdr>
        <w:top w:val="none" w:sz="0" w:space="0" w:color="auto"/>
        <w:left w:val="none" w:sz="0" w:space="0" w:color="auto"/>
        <w:bottom w:val="none" w:sz="0" w:space="0" w:color="auto"/>
        <w:right w:val="none" w:sz="0" w:space="0" w:color="auto"/>
      </w:divBdr>
    </w:div>
    <w:div w:id="1724208964">
      <w:bodyDiv w:val="1"/>
      <w:marLeft w:val="0"/>
      <w:marRight w:val="0"/>
      <w:marTop w:val="0"/>
      <w:marBottom w:val="0"/>
      <w:divBdr>
        <w:top w:val="none" w:sz="0" w:space="0" w:color="auto"/>
        <w:left w:val="none" w:sz="0" w:space="0" w:color="auto"/>
        <w:bottom w:val="none" w:sz="0" w:space="0" w:color="auto"/>
        <w:right w:val="none" w:sz="0" w:space="0" w:color="auto"/>
      </w:divBdr>
    </w:div>
    <w:div w:id="1751733741">
      <w:bodyDiv w:val="1"/>
      <w:marLeft w:val="0"/>
      <w:marRight w:val="0"/>
      <w:marTop w:val="0"/>
      <w:marBottom w:val="0"/>
      <w:divBdr>
        <w:top w:val="none" w:sz="0" w:space="0" w:color="auto"/>
        <w:left w:val="none" w:sz="0" w:space="0" w:color="auto"/>
        <w:bottom w:val="none" w:sz="0" w:space="0" w:color="auto"/>
        <w:right w:val="none" w:sz="0" w:space="0" w:color="auto"/>
      </w:divBdr>
    </w:div>
    <w:div w:id="1759012235">
      <w:bodyDiv w:val="1"/>
      <w:marLeft w:val="0"/>
      <w:marRight w:val="0"/>
      <w:marTop w:val="0"/>
      <w:marBottom w:val="0"/>
      <w:divBdr>
        <w:top w:val="none" w:sz="0" w:space="0" w:color="auto"/>
        <w:left w:val="none" w:sz="0" w:space="0" w:color="auto"/>
        <w:bottom w:val="none" w:sz="0" w:space="0" w:color="auto"/>
        <w:right w:val="none" w:sz="0" w:space="0" w:color="auto"/>
      </w:divBdr>
    </w:div>
    <w:div w:id="1761026068">
      <w:bodyDiv w:val="1"/>
      <w:marLeft w:val="0"/>
      <w:marRight w:val="0"/>
      <w:marTop w:val="0"/>
      <w:marBottom w:val="0"/>
      <w:divBdr>
        <w:top w:val="none" w:sz="0" w:space="0" w:color="auto"/>
        <w:left w:val="none" w:sz="0" w:space="0" w:color="auto"/>
        <w:bottom w:val="none" w:sz="0" w:space="0" w:color="auto"/>
        <w:right w:val="none" w:sz="0" w:space="0" w:color="auto"/>
      </w:divBdr>
    </w:div>
    <w:div w:id="1761638642">
      <w:bodyDiv w:val="1"/>
      <w:marLeft w:val="0"/>
      <w:marRight w:val="0"/>
      <w:marTop w:val="0"/>
      <w:marBottom w:val="0"/>
      <w:divBdr>
        <w:top w:val="none" w:sz="0" w:space="0" w:color="auto"/>
        <w:left w:val="none" w:sz="0" w:space="0" w:color="auto"/>
        <w:bottom w:val="none" w:sz="0" w:space="0" w:color="auto"/>
        <w:right w:val="none" w:sz="0" w:space="0" w:color="auto"/>
      </w:divBdr>
    </w:div>
    <w:div w:id="1767143556">
      <w:bodyDiv w:val="1"/>
      <w:marLeft w:val="0"/>
      <w:marRight w:val="0"/>
      <w:marTop w:val="0"/>
      <w:marBottom w:val="0"/>
      <w:divBdr>
        <w:top w:val="none" w:sz="0" w:space="0" w:color="auto"/>
        <w:left w:val="none" w:sz="0" w:space="0" w:color="auto"/>
        <w:bottom w:val="none" w:sz="0" w:space="0" w:color="auto"/>
        <w:right w:val="none" w:sz="0" w:space="0" w:color="auto"/>
      </w:divBdr>
    </w:div>
    <w:div w:id="1775905353">
      <w:bodyDiv w:val="1"/>
      <w:marLeft w:val="0"/>
      <w:marRight w:val="0"/>
      <w:marTop w:val="0"/>
      <w:marBottom w:val="0"/>
      <w:divBdr>
        <w:top w:val="none" w:sz="0" w:space="0" w:color="auto"/>
        <w:left w:val="none" w:sz="0" w:space="0" w:color="auto"/>
        <w:bottom w:val="none" w:sz="0" w:space="0" w:color="auto"/>
        <w:right w:val="none" w:sz="0" w:space="0" w:color="auto"/>
      </w:divBdr>
    </w:div>
    <w:div w:id="1791976303">
      <w:bodyDiv w:val="1"/>
      <w:marLeft w:val="0"/>
      <w:marRight w:val="0"/>
      <w:marTop w:val="0"/>
      <w:marBottom w:val="0"/>
      <w:divBdr>
        <w:top w:val="none" w:sz="0" w:space="0" w:color="auto"/>
        <w:left w:val="none" w:sz="0" w:space="0" w:color="auto"/>
        <w:bottom w:val="none" w:sz="0" w:space="0" w:color="auto"/>
        <w:right w:val="none" w:sz="0" w:space="0" w:color="auto"/>
      </w:divBdr>
    </w:div>
    <w:div w:id="1796177839">
      <w:bodyDiv w:val="1"/>
      <w:marLeft w:val="0"/>
      <w:marRight w:val="0"/>
      <w:marTop w:val="0"/>
      <w:marBottom w:val="0"/>
      <w:divBdr>
        <w:top w:val="none" w:sz="0" w:space="0" w:color="auto"/>
        <w:left w:val="none" w:sz="0" w:space="0" w:color="auto"/>
        <w:bottom w:val="none" w:sz="0" w:space="0" w:color="auto"/>
        <w:right w:val="none" w:sz="0" w:space="0" w:color="auto"/>
      </w:divBdr>
    </w:div>
    <w:div w:id="1842969611">
      <w:bodyDiv w:val="1"/>
      <w:marLeft w:val="0"/>
      <w:marRight w:val="0"/>
      <w:marTop w:val="0"/>
      <w:marBottom w:val="0"/>
      <w:divBdr>
        <w:top w:val="none" w:sz="0" w:space="0" w:color="auto"/>
        <w:left w:val="none" w:sz="0" w:space="0" w:color="auto"/>
        <w:bottom w:val="none" w:sz="0" w:space="0" w:color="auto"/>
        <w:right w:val="none" w:sz="0" w:space="0" w:color="auto"/>
      </w:divBdr>
    </w:div>
    <w:div w:id="1850633258">
      <w:bodyDiv w:val="1"/>
      <w:marLeft w:val="0"/>
      <w:marRight w:val="0"/>
      <w:marTop w:val="0"/>
      <w:marBottom w:val="0"/>
      <w:divBdr>
        <w:top w:val="none" w:sz="0" w:space="0" w:color="auto"/>
        <w:left w:val="none" w:sz="0" w:space="0" w:color="auto"/>
        <w:bottom w:val="none" w:sz="0" w:space="0" w:color="auto"/>
        <w:right w:val="none" w:sz="0" w:space="0" w:color="auto"/>
      </w:divBdr>
    </w:div>
    <w:div w:id="1863351358">
      <w:bodyDiv w:val="1"/>
      <w:marLeft w:val="0"/>
      <w:marRight w:val="0"/>
      <w:marTop w:val="0"/>
      <w:marBottom w:val="0"/>
      <w:divBdr>
        <w:top w:val="none" w:sz="0" w:space="0" w:color="auto"/>
        <w:left w:val="none" w:sz="0" w:space="0" w:color="auto"/>
        <w:bottom w:val="none" w:sz="0" w:space="0" w:color="auto"/>
        <w:right w:val="none" w:sz="0" w:space="0" w:color="auto"/>
      </w:divBdr>
      <w:divsChild>
        <w:div w:id="1233736276">
          <w:marLeft w:val="0"/>
          <w:marRight w:val="0"/>
          <w:marTop w:val="0"/>
          <w:marBottom w:val="0"/>
          <w:divBdr>
            <w:top w:val="none" w:sz="0" w:space="0" w:color="auto"/>
            <w:left w:val="none" w:sz="0" w:space="0" w:color="auto"/>
            <w:bottom w:val="none" w:sz="0" w:space="0" w:color="auto"/>
            <w:right w:val="none" w:sz="0" w:space="0" w:color="auto"/>
          </w:divBdr>
        </w:div>
        <w:div w:id="1923950066">
          <w:marLeft w:val="0"/>
          <w:marRight w:val="0"/>
          <w:marTop w:val="0"/>
          <w:marBottom w:val="0"/>
          <w:divBdr>
            <w:top w:val="none" w:sz="0" w:space="0" w:color="auto"/>
            <w:left w:val="none" w:sz="0" w:space="0" w:color="auto"/>
            <w:bottom w:val="none" w:sz="0" w:space="0" w:color="auto"/>
            <w:right w:val="none" w:sz="0" w:space="0" w:color="auto"/>
          </w:divBdr>
        </w:div>
        <w:div w:id="946812754">
          <w:marLeft w:val="0"/>
          <w:marRight w:val="0"/>
          <w:marTop w:val="0"/>
          <w:marBottom w:val="0"/>
          <w:divBdr>
            <w:top w:val="none" w:sz="0" w:space="0" w:color="auto"/>
            <w:left w:val="none" w:sz="0" w:space="0" w:color="auto"/>
            <w:bottom w:val="none" w:sz="0" w:space="0" w:color="auto"/>
            <w:right w:val="none" w:sz="0" w:space="0" w:color="auto"/>
          </w:divBdr>
        </w:div>
        <w:div w:id="1595935508">
          <w:marLeft w:val="0"/>
          <w:marRight w:val="0"/>
          <w:marTop w:val="0"/>
          <w:marBottom w:val="0"/>
          <w:divBdr>
            <w:top w:val="none" w:sz="0" w:space="0" w:color="auto"/>
            <w:left w:val="none" w:sz="0" w:space="0" w:color="auto"/>
            <w:bottom w:val="none" w:sz="0" w:space="0" w:color="auto"/>
            <w:right w:val="none" w:sz="0" w:space="0" w:color="auto"/>
          </w:divBdr>
        </w:div>
        <w:div w:id="2068382118">
          <w:marLeft w:val="0"/>
          <w:marRight w:val="0"/>
          <w:marTop w:val="0"/>
          <w:marBottom w:val="0"/>
          <w:divBdr>
            <w:top w:val="none" w:sz="0" w:space="0" w:color="auto"/>
            <w:left w:val="none" w:sz="0" w:space="0" w:color="auto"/>
            <w:bottom w:val="none" w:sz="0" w:space="0" w:color="auto"/>
            <w:right w:val="none" w:sz="0" w:space="0" w:color="auto"/>
          </w:divBdr>
        </w:div>
        <w:div w:id="1396705672">
          <w:marLeft w:val="0"/>
          <w:marRight w:val="0"/>
          <w:marTop w:val="0"/>
          <w:marBottom w:val="0"/>
          <w:divBdr>
            <w:top w:val="none" w:sz="0" w:space="0" w:color="auto"/>
            <w:left w:val="none" w:sz="0" w:space="0" w:color="auto"/>
            <w:bottom w:val="none" w:sz="0" w:space="0" w:color="auto"/>
            <w:right w:val="none" w:sz="0" w:space="0" w:color="auto"/>
          </w:divBdr>
        </w:div>
        <w:div w:id="981545253">
          <w:marLeft w:val="0"/>
          <w:marRight w:val="0"/>
          <w:marTop w:val="0"/>
          <w:marBottom w:val="0"/>
          <w:divBdr>
            <w:top w:val="none" w:sz="0" w:space="0" w:color="auto"/>
            <w:left w:val="none" w:sz="0" w:space="0" w:color="auto"/>
            <w:bottom w:val="none" w:sz="0" w:space="0" w:color="auto"/>
            <w:right w:val="none" w:sz="0" w:space="0" w:color="auto"/>
          </w:divBdr>
        </w:div>
      </w:divsChild>
    </w:div>
    <w:div w:id="1906143936">
      <w:bodyDiv w:val="1"/>
      <w:marLeft w:val="0"/>
      <w:marRight w:val="0"/>
      <w:marTop w:val="0"/>
      <w:marBottom w:val="0"/>
      <w:divBdr>
        <w:top w:val="none" w:sz="0" w:space="0" w:color="auto"/>
        <w:left w:val="none" w:sz="0" w:space="0" w:color="auto"/>
        <w:bottom w:val="none" w:sz="0" w:space="0" w:color="auto"/>
        <w:right w:val="none" w:sz="0" w:space="0" w:color="auto"/>
      </w:divBdr>
    </w:div>
    <w:div w:id="1909147054">
      <w:bodyDiv w:val="1"/>
      <w:marLeft w:val="0"/>
      <w:marRight w:val="0"/>
      <w:marTop w:val="0"/>
      <w:marBottom w:val="0"/>
      <w:divBdr>
        <w:top w:val="none" w:sz="0" w:space="0" w:color="auto"/>
        <w:left w:val="none" w:sz="0" w:space="0" w:color="auto"/>
        <w:bottom w:val="none" w:sz="0" w:space="0" w:color="auto"/>
        <w:right w:val="none" w:sz="0" w:space="0" w:color="auto"/>
      </w:divBdr>
    </w:div>
    <w:div w:id="1917090269">
      <w:bodyDiv w:val="1"/>
      <w:marLeft w:val="0"/>
      <w:marRight w:val="0"/>
      <w:marTop w:val="0"/>
      <w:marBottom w:val="0"/>
      <w:divBdr>
        <w:top w:val="none" w:sz="0" w:space="0" w:color="auto"/>
        <w:left w:val="none" w:sz="0" w:space="0" w:color="auto"/>
        <w:bottom w:val="none" w:sz="0" w:space="0" w:color="auto"/>
        <w:right w:val="none" w:sz="0" w:space="0" w:color="auto"/>
      </w:divBdr>
    </w:div>
    <w:div w:id="1926259096">
      <w:bodyDiv w:val="1"/>
      <w:marLeft w:val="0"/>
      <w:marRight w:val="0"/>
      <w:marTop w:val="0"/>
      <w:marBottom w:val="0"/>
      <w:divBdr>
        <w:top w:val="none" w:sz="0" w:space="0" w:color="auto"/>
        <w:left w:val="none" w:sz="0" w:space="0" w:color="auto"/>
        <w:bottom w:val="none" w:sz="0" w:space="0" w:color="auto"/>
        <w:right w:val="none" w:sz="0" w:space="0" w:color="auto"/>
      </w:divBdr>
    </w:div>
    <w:div w:id="1930431526">
      <w:bodyDiv w:val="1"/>
      <w:marLeft w:val="0"/>
      <w:marRight w:val="0"/>
      <w:marTop w:val="0"/>
      <w:marBottom w:val="0"/>
      <w:divBdr>
        <w:top w:val="none" w:sz="0" w:space="0" w:color="auto"/>
        <w:left w:val="none" w:sz="0" w:space="0" w:color="auto"/>
        <w:bottom w:val="none" w:sz="0" w:space="0" w:color="auto"/>
        <w:right w:val="none" w:sz="0" w:space="0" w:color="auto"/>
      </w:divBdr>
    </w:div>
    <w:div w:id="1931116060">
      <w:bodyDiv w:val="1"/>
      <w:marLeft w:val="0"/>
      <w:marRight w:val="0"/>
      <w:marTop w:val="0"/>
      <w:marBottom w:val="0"/>
      <w:divBdr>
        <w:top w:val="none" w:sz="0" w:space="0" w:color="auto"/>
        <w:left w:val="none" w:sz="0" w:space="0" w:color="auto"/>
        <w:bottom w:val="none" w:sz="0" w:space="0" w:color="auto"/>
        <w:right w:val="none" w:sz="0" w:space="0" w:color="auto"/>
      </w:divBdr>
    </w:div>
    <w:div w:id="1943032988">
      <w:bodyDiv w:val="1"/>
      <w:marLeft w:val="0"/>
      <w:marRight w:val="0"/>
      <w:marTop w:val="0"/>
      <w:marBottom w:val="0"/>
      <w:divBdr>
        <w:top w:val="none" w:sz="0" w:space="0" w:color="auto"/>
        <w:left w:val="none" w:sz="0" w:space="0" w:color="auto"/>
        <w:bottom w:val="none" w:sz="0" w:space="0" w:color="auto"/>
        <w:right w:val="none" w:sz="0" w:space="0" w:color="auto"/>
      </w:divBdr>
    </w:div>
    <w:div w:id="1969584863">
      <w:bodyDiv w:val="1"/>
      <w:marLeft w:val="0"/>
      <w:marRight w:val="0"/>
      <w:marTop w:val="0"/>
      <w:marBottom w:val="0"/>
      <w:divBdr>
        <w:top w:val="none" w:sz="0" w:space="0" w:color="auto"/>
        <w:left w:val="none" w:sz="0" w:space="0" w:color="auto"/>
        <w:bottom w:val="none" w:sz="0" w:space="0" w:color="auto"/>
        <w:right w:val="none" w:sz="0" w:space="0" w:color="auto"/>
      </w:divBdr>
    </w:div>
    <w:div w:id="1980836621">
      <w:bodyDiv w:val="1"/>
      <w:marLeft w:val="0"/>
      <w:marRight w:val="0"/>
      <w:marTop w:val="0"/>
      <w:marBottom w:val="0"/>
      <w:divBdr>
        <w:top w:val="none" w:sz="0" w:space="0" w:color="auto"/>
        <w:left w:val="none" w:sz="0" w:space="0" w:color="auto"/>
        <w:bottom w:val="none" w:sz="0" w:space="0" w:color="auto"/>
        <w:right w:val="none" w:sz="0" w:space="0" w:color="auto"/>
      </w:divBdr>
    </w:div>
    <w:div w:id="1983727000">
      <w:bodyDiv w:val="1"/>
      <w:marLeft w:val="0"/>
      <w:marRight w:val="0"/>
      <w:marTop w:val="0"/>
      <w:marBottom w:val="0"/>
      <w:divBdr>
        <w:top w:val="none" w:sz="0" w:space="0" w:color="auto"/>
        <w:left w:val="none" w:sz="0" w:space="0" w:color="auto"/>
        <w:bottom w:val="none" w:sz="0" w:space="0" w:color="auto"/>
        <w:right w:val="none" w:sz="0" w:space="0" w:color="auto"/>
      </w:divBdr>
    </w:div>
    <w:div w:id="1992176840">
      <w:bodyDiv w:val="1"/>
      <w:marLeft w:val="0"/>
      <w:marRight w:val="0"/>
      <w:marTop w:val="0"/>
      <w:marBottom w:val="0"/>
      <w:divBdr>
        <w:top w:val="none" w:sz="0" w:space="0" w:color="auto"/>
        <w:left w:val="none" w:sz="0" w:space="0" w:color="auto"/>
        <w:bottom w:val="none" w:sz="0" w:space="0" w:color="auto"/>
        <w:right w:val="none" w:sz="0" w:space="0" w:color="auto"/>
      </w:divBdr>
    </w:div>
    <w:div w:id="2003241978">
      <w:bodyDiv w:val="1"/>
      <w:marLeft w:val="0"/>
      <w:marRight w:val="0"/>
      <w:marTop w:val="0"/>
      <w:marBottom w:val="0"/>
      <w:divBdr>
        <w:top w:val="none" w:sz="0" w:space="0" w:color="auto"/>
        <w:left w:val="none" w:sz="0" w:space="0" w:color="auto"/>
        <w:bottom w:val="none" w:sz="0" w:space="0" w:color="auto"/>
        <w:right w:val="none" w:sz="0" w:space="0" w:color="auto"/>
      </w:divBdr>
    </w:div>
    <w:div w:id="2064863667">
      <w:bodyDiv w:val="1"/>
      <w:marLeft w:val="0"/>
      <w:marRight w:val="0"/>
      <w:marTop w:val="0"/>
      <w:marBottom w:val="0"/>
      <w:divBdr>
        <w:top w:val="none" w:sz="0" w:space="0" w:color="auto"/>
        <w:left w:val="none" w:sz="0" w:space="0" w:color="auto"/>
        <w:bottom w:val="none" w:sz="0" w:space="0" w:color="auto"/>
        <w:right w:val="none" w:sz="0" w:space="0" w:color="auto"/>
      </w:divBdr>
    </w:div>
    <w:div w:id="2070763840">
      <w:bodyDiv w:val="1"/>
      <w:marLeft w:val="0"/>
      <w:marRight w:val="0"/>
      <w:marTop w:val="0"/>
      <w:marBottom w:val="0"/>
      <w:divBdr>
        <w:top w:val="none" w:sz="0" w:space="0" w:color="auto"/>
        <w:left w:val="none" w:sz="0" w:space="0" w:color="auto"/>
        <w:bottom w:val="none" w:sz="0" w:space="0" w:color="auto"/>
        <w:right w:val="none" w:sz="0" w:space="0" w:color="auto"/>
      </w:divBdr>
    </w:div>
    <w:div w:id="2087220094">
      <w:bodyDiv w:val="1"/>
      <w:marLeft w:val="0"/>
      <w:marRight w:val="0"/>
      <w:marTop w:val="0"/>
      <w:marBottom w:val="0"/>
      <w:divBdr>
        <w:top w:val="none" w:sz="0" w:space="0" w:color="auto"/>
        <w:left w:val="none" w:sz="0" w:space="0" w:color="auto"/>
        <w:bottom w:val="none" w:sz="0" w:space="0" w:color="auto"/>
        <w:right w:val="none" w:sz="0" w:space="0" w:color="auto"/>
      </w:divBdr>
    </w:div>
    <w:div w:id="2104451634">
      <w:bodyDiv w:val="1"/>
      <w:marLeft w:val="0"/>
      <w:marRight w:val="0"/>
      <w:marTop w:val="0"/>
      <w:marBottom w:val="0"/>
      <w:divBdr>
        <w:top w:val="none" w:sz="0" w:space="0" w:color="auto"/>
        <w:left w:val="none" w:sz="0" w:space="0" w:color="auto"/>
        <w:bottom w:val="none" w:sz="0" w:space="0" w:color="auto"/>
        <w:right w:val="none" w:sz="0" w:space="0" w:color="auto"/>
      </w:divBdr>
    </w:div>
    <w:div w:id="2117018711">
      <w:bodyDiv w:val="1"/>
      <w:marLeft w:val="0"/>
      <w:marRight w:val="0"/>
      <w:marTop w:val="0"/>
      <w:marBottom w:val="0"/>
      <w:divBdr>
        <w:top w:val="none" w:sz="0" w:space="0" w:color="auto"/>
        <w:left w:val="none" w:sz="0" w:space="0" w:color="auto"/>
        <w:bottom w:val="none" w:sz="0" w:space="0" w:color="auto"/>
        <w:right w:val="none" w:sz="0" w:space="0" w:color="auto"/>
      </w:divBdr>
    </w:div>
    <w:div w:id="2120099323">
      <w:bodyDiv w:val="1"/>
      <w:marLeft w:val="0"/>
      <w:marRight w:val="0"/>
      <w:marTop w:val="0"/>
      <w:marBottom w:val="0"/>
      <w:divBdr>
        <w:top w:val="none" w:sz="0" w:space="0" w:color="auto"/>
        <w:left w:val="none" w:sz="0" w:space="0" w:color="auto"/>
        <w:bottom w:val="none" w:sz="0" w:space="0" w:color="auto"/>
        <w:right w:val="none" w:sz="0" w:space="0" w:color="auto"/>
      </w:divBdr>
    </w:div>
    <w:div w:id="2130858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3CCF-0A1F-4A2D-B7BF-C4042D632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6</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preeti.jain6@gmail.com</dc:creator>
  <cp:keywords/>
  <dc:description/>
  <cp:lastModifiedBy>Mansi Agarwal</cp:lastModifiedBy>
  <cp:revision>221</cp:revision>
  <cp:lastPrinted>2018-02-21T22:43:00Z</cp:lastPrinted>
  <dcterms:created xsi:type="dcterms:W3CDTF">2018-02-21T22:43:00Z</dcterms:created>
  <dcterms:modified xsi:type="dcterms:W3CDTF">2018-08-31T00:08:00Z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prakark@microsoft.com</vt:lpwstr>
  </property>
  <property fmtid="{D5CDD505-2E9C-101B-9397-08002B2CF9AE}" pid="5" name="MSIP_Label_f42aa342-8706-4288-bd11-ebb85995028c_SetDate">
    <vt:lpwstr>2018-02-05T23:46:14.6732905Z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