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SUNEESH SIDHARTHAN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B6E4F"/>
          <w:spacing w:val="60"/>
          <w:sz w:val="22"/>
          <w:szCs w:val="22"/>
        </w:rPr>
        <w:t xml:space="preserve">ENTERPRISE AI SYSTEMS ARCHITECT</w:t>
      </w:r>
    </w:p>
    <w:p>
      <w:pPr>
        <w:spacing w:after="40" w:before="0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AI Governance  ·  RAG Systems  ·  Agentic Pipelines  ·  Full-Stack AI Product Engineering</w:t>
      </w:r>
    </w:p>
    <w:p>
      <w:pPr>
        <w:tabs>
          <w:tab w:val="center" w:pos="4680"/>
          <w:tab w:val="right" w:pos="9360"/>
        </w:tabs>
        <w:spacing w:after="20" w:before="0"/>
      </w:pPr>
      <w:r>
        <w:rPr>
          <w:rFonts w:ascii="Arial" w:cs="Arial" w:eastAsia="Arial" w:hAnsi="Arial"/>
          <w:color w:val="4A5270"/>
          <w:sz w:val="18"/>
          <w:szCs w:val="18"/>
        </w:rPr>
        <w:t xml:space="preserve">Bengaluru, India  ·  +91-99868-98076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0B6E4F"/>
          <w:sz w:val="18"/>
          <w:szCs w:val="18"/>
        </w:rPr>
        <w:t xml:space="preserve">suneesh.sidharthan80@gmail.com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0B6E4F"/>
          <w:sz w:val="18"/>
          <w:szCs w:val="18"/>
        </w:rPr>
        <w:t xml:space="preserve">linkedin.com/in/suneesh-sidharthan-773b85147  ·  github.com/suneesh-sidharth</w:t>
      </w:r>
    </w:p>
    <w:p>
      <w:pPr>
        <w:pBdr>
          <w:left w:val="single" w:color="0B6E4F" w:sz="14" w:space="10"/>
        </w:pBdr>
        <w:spacing w:after="60" w:before="80"/>
        <w:ind w:left="160"/>
      </w:pPr>
      <w:r>
        <w:rPr>
          <w:rFonts w:ascii="Arial" w:cs="Arial" w:eastAsia="Arial" w:hAnsi="Arial"/>
          <w:i/>
          <w:iCs/>
          <w:color w:val="4A5270"/>
          <w:sz w:val="19"/>
          <w:szCs w:val="19"/>
        </w:rPr>
        <w:t>Architecting enterprise-grade AI systems with strong governance, retrieval grounding, permission-aware security, and production reliability across the complete AI product lifecycle.</w:t>
      </w:r>
    </w:p>
    <w:p>
      <w:pPr>
        <w:pBdr>
          <w:bottom w:val="single" w:color="0B6E4F" w:sz="4" w:space="1"/>
        </w:pBdr>
        <w:spacing w:after="60" w:before="240"/>
      </w:pPr>
      <w:r>
        <w:rPr>
          <w:rFonts w:ascii="Arial" w:cs="Arial" w:eastAsia="Arial" w:hAnsi="Arial"/>
          <w:b/>
          <w:bCs/>
          <w:caps/>
          <w:color w:val="0B6E4F"/>
          <w:spacing w:val="100"/>
          <w:sz w:val="19"/>
          <w:szCs w:val="19"/>
        </w:rPr>
        <w:t xml:space="preserve">Professional Summary</w:t>
      </w:r>
    </w:p>
    <w:p>
      <w:pPr>
        <w:spacing w:after="30" w:before="30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Enterprise AI Systems Architect and Product Engineering Leader with 15+ years designing and delivering scalable mobile, web, analytics, and cloud-native platforms across enterprise and startup ecosystems.</w:t>
      </w:r>
    </w:p>
    <w:p>
      <w:pPr>
        <w:spacing w:after="30" w:before="30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Specialized in production-grade AI systems: RAG architectures, multi-LLM orchestration, agentic workflows, AI-enabled mobile applications, enterprise knowledge systems, and secure AI automation platforms.</w:t>
      </w:r>
    </w:p>
    <w:p>
      <w:pPr>
        <w:spacing w:after="30" w:before="30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Founding architect and primary engineering lead behind MiVA — a multi-year AI-native education platform built on Kotlin/Android, Supabase/PostgreSQL, FastAPI, multi-model AI orchestration, and scalable mobile-first delivery infrastructure. Creator of SEAL v3 — a five-ring governance framework designed to detect and control architectural drift in production AI systems across all release cycles.</w:t>
      </w:r>
    </w:p>
    <w:p>
      <w:pPr>
        <w:spacing w:after="30" w:before="30"/>
      </w:pPr>
      <w:r>
        <w:rPr>
          <w:rFonts w:ascii="Arial" w:cs="Arial" w:eastAsia="Arial" w:hAnsi="Arial"/>
          <w:color w:val="4A5270"/>
          <w:sz w:val="19"/>
          <w:szCs w:val="19"/>
        </w:rPr>
        <w:t>Proven across the complete AI product lifecycle: architecture → development → deployment → optimization → governance.</w:t>
      </w:r>
    </w:p>
    <w:p>
      <w:pPr>
        <w:pBdr>
          <w:bottom w:val="single" w:color="0B6E4F" w:sz="4" w:space="1"/>
        </w:pBdr>
        <w:spacing w:after="60" w:before="240"/>
      </w:pPr>
      <w:r>
        <w:rPr>
          <w:rFonts w:ascii="Arial" w:cs="Arial" w:eastAsia="Arial" w:hAnsi="Arial"/>
          <w:b/>
          <w:bCs/>
          <w:caps/>
          <w:color w:val="0B6E4F"/>
          <w:spacing w:val="100"/>
          <w:sz w:val="19"/>
          <w:szCs w:val="19"/>
        </w:rPr>
        <w:t xml:space="preserve">What I Deliver for Clients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Enterprise RAG Systems — Permission-aware internal knowledge assistants with audit logging, retrieval grounding, and model-agnostic adapter interfaces. Stack: FastAPI + pgvector + Supabase RLS + Claude/GPT.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Agentic Workflow Automation — AI agents that read, decide, create tickets, update CRM, and trigger notifications. Built on LangGraph and tool-calling patterns.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AI Mobile Applications — Production Kotlin/Jetpack Compose apps with LLM integration, offline support, and enterprise authentication.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Enterprise AI Integrations — Connecting AI systems to Slack, Notion, Confluence, Jira, Salesforce, and internal APIs with full RBAC and audit trails.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AI Governance &amp; Drift Control — SEAL-based audit logging, PII protection, model-swap-ready adapters. Review and remediate existing AI systems against architectural drift.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Multi-LLM Content Pipelines — Automated generation, review, and production workflows across Claude, Gemini, and voice synthesis tooling.</w:t>
      </w:r>
    </w:p>
    <w:p>
      <w:pPr>
        <w:pBdr>
          <w:bottom w:val="single" w:color="0B6E4F" w:sz="4" w:space="1"/>
        </w:pBdr>
        <w:spacing w:after="60" w:before="240"/>
      </w:pPr>
      <w:r>
        <w:rPr>
          <w:rFonts w:ascii="Arial" w:cs="Arial" w:eastAsia="Arial" w:hAnsi="Arial"/>
          <w:b/>
          <w:bCs/>
          <w:caps/>
          <w:color w:val="0B6E4F"/>
          <w:spacing w:val="100"/>
          <w:sz w:val="19"/>
          <w:szCs w:val="19"/>
        </w:rPr>
        <w:t xml:space="preserve">Core Specializations</w:t>
      </w:r>
    </w:p>
    <w:p>
      <w:pPr>
        <w:spacing w:after="30" w:before="30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Retrieval-Augmented Generation (RAG)  ·  Agentic AI Systems  ·  Multi-LLM Orchestration  ·  Enterprise Knowledge Assistants  ·  AI Workflow Automation  ·  AI Governance &amp; Safety  ·  Semantic Search Systems  ·  AI Product Architecture  ·  Prompt Pipeline Engineering  ·  AI-Enabled Mobile Applications  ·  Enterprise AI Integrations  ·  Secure AI Infrastructure  ·  AI Platform Engineering  ·  Full-Stack AI Product Delivery</w:t>
      </w:r>
    </w:p>
    <w:p>
      <w:pPr>
        <w:pBdr>
          <w:bottom w:val="single" w:color="0B6E4F" w:sz="4" w:space="1"/>
        </w:pBdr>
        <w:spacing w:after="60" w:before="240"/>
      </w:pPr>
      <w:r>
        <w:rPr>
          <w:rFonts w:ascii="Arial" w:cs="Arial" w:eastAsia="Arial" w:hAnsi="Arial"/>
          <w:b/>
          <w:bCs/>
          <w:caps/>
          <w:color w:val="0B6E4F"/>
          <w:spacing w:val="100"/>
          <w:sz w:val="19"/>
          <w:szCs w:val="19"/>
        </w:rPr>
        <w:t xml:space="preserve">Technical Stack</w:t>
      </w:r>
    </w:p>
    <w:tbl>
      <w:tblPr>
        <w:tblW w:type="dxa" w:w="91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AI / GenAI: </w:t>
            </w:r>
            <w:r>
              <w:rPr>
                <w:rFonts w:ascii="Arial" w:cs="Arial" w:eastAsia="Arial" w:hAnsi="Arial"/>
                <w:color w:val="4A5270"/>
                <w:sz w:val="19"/>
                <w:szCs w:val="19"/>
              </w:rPr>
              <w:t xml:space="preserve">OpenAI GPT-4.x, Claude (Anthropic), Gemini, RAG Architectures, Agentic Pipelines, Prompt Engineering, Semantic Retrieval, HITL Systems, AI Governance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Languages: </w:t>
            </w:r>
            <w:r>
              <w:rPr>
                <w:rFonts w:ascii="Arial" w:cs="Arial" w:eastAsia="Arial" w:hAnsi="Arial"/>
                <w:color w:val="4A5270"/>
                <w:sz w:val="19"/>
                <w:szCs w:val="19"/>
              </w:rPr>
              <w:t xml:space="preserve">Python, Kotlin, TypeScript, JavaScript, C#, SQL, HTML5, CSS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Frameworks: </w:t>
            </w:r>
            <w:r>
              <w:rPr>
                <w:rFonts w:ascii="Arial" w:cs="Arial" w:eastAsia="Arial" w:hAnsi="Arial"/>
                <w:color w:val="4A5270"/>
                <w:sz w:val="19"/>
                <w:szCs w:val="19"/>
              </w:rPr>
              <w:t xml:space="preserve">FastAPI, React, Node.js, Android (Kotlin/Jetpack Compose), ASP.NET MVC, Supabase</w:t>
            </w:r>
          </w:p>
        </w:tc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Databases: </w:t>
            </w:r>
            <w:r>
              <w:rPr>
                <w:rFonts w:ascii="Arial" w:cs="Arial" w:eastAsia="Arial" w:hAnsi="Arial"/>
                <w:color w:val="4A5270"/>
                <w:sz w:val="19"/>
                <w:szCs w:val="19"/>
              </w:rPr>
              <w:t xml:space="preserve">PostgreSQL, Supabase (multi-schema, RLS, pgvector), MS SQL Server, Vector DB integrations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Cloud &amp; DevOps: </w:t>
            </w:r>
            <w:r>
              <w:rPr>
                <w:rFonts w:ascii="Arial" w:cs="Arial" w:eastAsia="Arial" w:hAnsi="Arial"/>
                <w:color w:val="4A5270"/>
                <w:sz w:val="19"/>
                <w:szCs w:val="19"/>
              </w:rPr>
              <w:t xml:space="preserve">Docker, GitHub Actions, CI/CD, AWS (Foundational), Railway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Methodologies: </w:t>
            </w:r>
            <w:r>
              <w:rPr>
                <w:rFonts w:ascii="Arial" w:cs="Arial" w:eastAsia="Arial" w:hAnsi="Arial"/>
                <w:color w:val="4A5270"/>
                <w:sz w:val="19"/>
                <w:szCs w:val="19"/>
              </w:rPr>
              <w:t xml:space="preserve">Agile/Scrum, Product-Led Engineering, AI-Native SDLC, SEAL v3 Governance</w:t>
            </w:r>
          </w:p>
        </w:tc>
      </w:tr>
    </w:tbl>
    <w:p>
      <w:pPr>
        <w:pBdr>
          <w:bottom w:val="single" w:color="0B6E4F" w:sz="4" w:space="1"/>
        </w:pBdr>
        <w:spacing w:after="60" w:before="240"/>
      </w:pPr>
      <w:r>
        <w:rPr>
          <w:rFonts w:ascii="Arial" w:cs="Arial" w:eastAsia="Arial" w:hAnsi="Arial"/>
          <w:b/>
          <w:bCs/>
          <w:caps/>
          <w:color w:val="0B6E4F"/>
          <w:spacing w:val="100"/>
          <w:sz w:val="19"/>
          <w:szCs w:val="19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 Product Architect &amp; Engineering Lead</w:t>
      </w:r>
      <w:r>
        <w:rPr>
          <w:rFonts w:ascii="Arial" w:cs="Arial" w:eastAsia="Arial" w:hAnsi="Arial"/>
          <w:color w:val="4A5270"/>
          <w:sz w:val="19"/>
          <w:szCs w:val="19"/>
        </w:rPr>
        <w:t xml:space="preserve">  —  </w:t>
      </w:r>
      <w:r>
        <w:rPr>
          <w:rFonts w:ascii="Arial" w:cs="Arial" w:eastAsia="Arial" w:hAnsi="Arial"/>
          <w:b/>
          <w:bCs/>
          <w:color w:val="0B6E4F"/>
          <w:sz w:val="19"/>
          <w:szCs w:val="19"/>
        </w:rPr>
        <w:t xml:space="preserve">MiVA — AI-Native Adaptive Learning Platform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2023 – Present  ·  Bengaluru</w:t>
      </w:r>
    </w:p>
    <w:p>
      <w:pPr>
        <w:spacing w:after="30" w:before="30"/>
      </w:pPr>
      <w:r>
        <w:rPr>
          <w:rFonts w:ascii="Arial" w:cs="Arial" w:eastAsia="Arial" w:hAnsi="Arial"/>
          <w:color w:val="4A5270"/>
          <w:sz w:val="19"/>
          <w:szCs w:val="19"/>
        </w:rPr>
        <w:t>Led architecture and core platform engineering for MiVA across backend, mobile, AI orchestration, security, and deployment — from concept to Play Store closed beta.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i/>
          <w:iCs/>
          <w:color w:val="0B6E4F"/>
          <w:sz w:val="19"/>
          <w:szCs w:val="19"/>
        </w:rPr>
        <w:t xml:space="preserve">Enterprise AI Architecture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Designed scalable multi-schema PostgreSQL backend spanning api, app, billing, content, control, people, and social domains — structured for enterprise-grade data isolation and role-scoped access from the outset.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Architected end-to-end platform infrastructure across mobile, backend, AI orchestration, content delivery, and security domains with extensible paths for multi-agent workflow expansion.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i/>
          <w:iCs/>
          <w:color w:val="0B6E4F"/>
          <w:sz w:val="19"/>
          <w:szCs w:val="19"/>
        </w:rPr>
        <w:t xml:space="preserve">SEAL v3 — AI Governance Framework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>Designed and implemented SEAL v3: a five-ring architectural governance framework protecting against production drift across all release cycles.</w:t>
      </w:r>
      <w:r>
        <w:rPr>
          <w:rFonts w:ascii="Arial" w:cs="Arial" w:eastAsia="Arial" w:hAnsi="Arial"/>
          <w:color w:val="4A5270"/>
          <w:sz w:val="19"/>
          <w:szCs w:val="19"/>
        </w:rPr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Self-describing headers — every sealed file carries a 🔒 SEALED header with freeze date and human-readable enforcement warning.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Physical sealed/ directory — bright-line boundary between frozen contracts and mutable extension layer.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Git pre-commit hook — blocks any commit touching the sealed/ directory; overrides require documented audit trail.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Build hash verification — SHA256 hashes of all sealed files checked at build time; any modification fails the build.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Runtime integrity — SealedContractVerifier runs at app startup, validating function count and names against embedded manifest.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19 sealed API functions in SealedApi.kt — eternal contracts, never modified, never removed. New capability added via named extensions in ExtendedApi (mutable/ directory) only.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Authority hierarchy: DATABASE &gt; DECISION LOG &gt; SSOT &gt; Code &gt; Console &gt; Docs — single source of truth enforced at every layer.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Published AI-Native SDLC Framework: 7-phase governance methodology (FRAME→SEAL→SPEC→BUILD→VERIFY→RECONCILE→EVOLVE) with Master Build Guide, Case Study, and Drift Audit Methodology. Released on GitHub under CC BY 4.0.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i/>
          <w:iCs/>
          <w:color w:val="0B6E4F"/>
          <w:sz w:val="19"/>
          <w:szCs w:val="19"/>
        </w:rPr>
        <w:t xml:space="preserve">Multi-LLM &amp; Agentic Systems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Designed model-agnostic orchestration pipelines integrating Claude, Gemini, and future LLM providers through adapter-based abstractions — no vendor lock-in by design.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Built agentic prompt pipelines for session generation, automated review, content refinement, production splitting, and AI-assisted sequencing — reducing production lifecycle by approximately 60%.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i/>
          <w:iCs/>
          <w:color w:val="0B6E4F"/>
          <w:sz w:val="19"/>
          <w:szCs w:val="19"/>
        </w:rPr>
        <w:t xml:space="preserve">Enterprise Security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Designed authentication architecture with role-based access controls, row-level security (RLS), single-device enforcement, and OTP-based auth — maintaining strong security posture across 40+ tables and 85+ production policies.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Implemented permission-aware data architecture enforcing no cross-role data exposure at the database layer; all retrieval paths filtered before application logic.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i/>
          <w:iCs/>
          <w:color w:val="0B6E4F"/>
          <w:sz w:val="19"/>
          <w:szCs w:val="19"/>
        </w:rPr>
        <w:t xml:space="preserve">Mobile AI Platform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Built ExoPlayer-based adaptive video delivery with 300MB intelligent cache, custom SRT subtitle overlay (rich text, disabled native SubtitleView), and session-level state machines for seamless reel navigation.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Engineered production resilience: CancellationException guards (44 guards / 8 files), launchSafely coroutine patterns (17 call sites), and systematic vulnerability hardening across 84 Kotlin source files.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Integrated Razorpay payments, BunnyCDN/Cloudflare video delivery, ElevenLabs voice synthesis, and automated subtitle generation workflows.</w:t>
      </w:r>
    </w:p>
    <w:p>
      <w:pPr>
        <w:pBdr>
          <w:left w:val="single" w:color="0B6E4F" w:sz="14" w:space="8"/>
        </w:pBdr>
        <w:shd w:fill="EAF5F0" w:val="clear"/>
        <w:spacing w:after="80" w:before="50"/>
        <w:ind w:left="160"/>
      </w:pPr>
      <w:r>
        <w:rPr>
          <w:rFonts w:ascii="Arial" w:cs="Arial" w:eastAsia="Arial" w:hAnsi="Arial"/>
          <w:color w:val="0B6E4F"/>
          <w:sz w:val="18"/>
          <w:szCs w:val="18"/>
        </w:rPr>
        <w:t>Governed, hardened, multi-LLM — built as founding engineer to Play Store production standards across 84 Kotlin source files and multiple closed beta releases.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Solution Delivery &amp; Digital Transformation Lead</w:t>
      </w:r>
      <w:r>
        <w:rPr>
          <w:rFonts w:ascii="Arial" w:cs="Arial" w:eastAsia="Arial" w:hAnsi="Arial"/>
          <w:color w:val="4A5270"/>
          <w:sz w:val="19"/>
          <w:szCs w:val="19"/>
        </w:rPr>
        <w:t xml:space="preserve">  —  </w:t>
      </w:r>
      <w:r>
        <w:rPr>
          <w:rFonts w:ascii="Arial" w:cs="Arial" w:eastAsia="Arial" w:hAnsi="Arial"/>
          <w:b/>
          <w:bCs/>
          <w:color w:val="0B6E4F"/>
          <w:sz w:val="19"/>
          <w:szCs w:val="19"/>
        </w:rPr>
        <w:t xml:space="preserve">Tata Consultancy Services (TCS)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2021 – 2023  ·  Bengaluru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Managed end-to-end delivery of Global Digital Analytics &amp; CX transformation programs for enterprise clients — from requirements through production deployment.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Built KPI measurement frameworks and predictive analytics models for CX optimisation at enterprise scale.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Led cross-functional teams across engineering, analytics, and business stakeholders under enterprise governance and delivery controls.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Senior Analyst — Digital Banking &amp; Customer Analytics</w:t>
      </w:r>
      <w:r>
        <w:rPr>
          <w:rFonts w:ascii="Arial" w:cs="Arial" w:eastAsia="Arial" w:hAnsi="Arial"/>
          <w:color w:val="4A5270"/>
          <w:sz w:val="19"/>
          <w:szCs w:val="19"/>
        </w:rPr>
        <w:t xml:space="preserve">  —  </w:t>
      </w:r>
      <w:r>
        <w:rPr>
          <w:rFonts w:ascii="Arial" w:cs="Arial" w:eastAsia="Arial" w:hAnsi="Arial"/>
          <w:b/>
          <w:bCs/>
          <w:color w:val="0B6E4F"/>
          <w:sz w:val="19"/>
          <w:szCs w:val="19"/>
        </w:rPr>
        <w:t xml:space="preserve">Cognizant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2014 – 2020  ·  Bengaluru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Led product strategy for digital banking platforms serving 10M+ users.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Designed A/B testing frameworks delivering 25% conversion uplift; built predictive models for customer behaviour and risk assessment in regulated financial environments.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Senior Analyst — Enterprise Analytics</w:t>
      </w:r>
      <w:r>
        <w:rPr>
          <w:rFonts w:ascii="Arial" w:cs="Arial" w:eastAsia="Arial" w:hAnsi="Arial"/>
          <w:color w:val="4A5270"/>
          <w:sz w:val="19"/>
          <w:szCs w:val="19"/>
        </w:rPr>
        <w:t xml:space="preserve">  —  </w:t>
      </w:r>
      <w:r>
        <w:rPr>
          <w:rFonts w:ascii="Arial" w:cs="Arial" w:eastAsia="Arial" w:hAnsi="Arial"/>
          <w:b/>
          <w:bCs/>
          <w:color w:val="0B6E4F"/>
          <w:sz w:val="19"/>
          <w:szCs w:val="19"/>
        </w:rPr>
        <w:t xml:space="preserve">Dell Technologies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2012 – 2014  ·  Bengaluru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Implemented enterprise analytics instrumentation; designed segmentation strategies and BI dashboards supporting executive decision-making at scale.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Software Engineer</w:t>
      </w:r>
      <w:r>
        <w:rPr>
          <w:rFonts w:ascii="Arial" w:cs="Arial" w:eastAsia="Arial" w:hAnsi="Arial"/>
          <w:color w:val="4A5270"/>
          <w:sz w:val="19"/>
          <w:szCs w:val="19"/>
        </w:rPr>
        <w:t xml:space="preserve">  —  </w:t>
      </w:r>
      <w:r>
        <w:rPr>
          <w:rFonts w:ascii="Arial" w:cs="Arial" w:eastAsia="Arial" w:hAnsi="Arial"/>
          <w:b/>
          <w:bCs/>
          <w:color w:val="0B6E4F"/>
          <w:sz w:val="19"/>
          <w:szCs w:val="19"/>
        </w:rPr>
        <w:t xml:space="preserve">Mphasis  ·  National Informatics Centre (Govt. of India)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2006 – 2012  ·  Bengaluru / Trivandrum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Built enterprise reporting and analytics applications for marketing and digital operations environments.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Developed examination management systems and official web portals for DHSE, Government of India (NIC).</w:t>
      </w:r>
    </w:p>
    <w:p>
      <w:pPr>
        <w:pBdr>
          <w:bottom w:val="single" w:color="0B6E4F" w:sz="4" w:space="1"/>
        </w:pBdr>
        <w:spacing w:after="60" w:before="240"/>
      </w:pPr>
      <w:r>
        <w:rPr>
          <w:rFonts w:ascii="Arial" w:cs="Arial" w:eastAsia="Arial" w:hAnsi="Arial"/>
          <w:b/>
          <w:bCs/>
          <w:caps/>
          <w:color w:val="0B6E4F"/>
          <w:spacing w:val="100"/>
          <w:sz w:val="19"/>
          <w:szCs w:val="19"/>
        </w:rPr>
        <w:t xml:space="preserve">Product Portfolio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MiVA Android App</w:t>
      </w:r>
      <w:r>
        <w:rPr>
          <w:rFonts w:ascii="Arial" w:cs="Arial" w:eastAsia="Arial" w:hAnsi="Arial"/>
          <w:color w:val="4A5270"/>
          <w:sz w:val="19"/>
          <w:szCs w:val="19"/>
        </w:rPr>
        <w:t xml:space="preserve">  —  </w:t>
      </w:r>
      <w:r>
        <w:rPr>
          <w:rFonts w:ascii="Arial" w:cs="Arial" w:eastAsia="Arial" w:hAnsi="Arial"/>
          <w:b/>
          <w:bCs/>
          <w:color w:val="0B6E4F"/>
          <w:sz w:val="19"/>
          <w:szCs w:val="19"/>
        </w:rPr>
        <w:t xml:space="preserve">Closed Beta — Play Store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2023 – Present  ·  </w:t>
      </w:r>
    </w:p>
    <w:p>
      <w:pPr>
        <w:spacing w:after="30" w:before="30"/>
      </w:pPr>
      <w:r>
        <w:rPr>
          <w:rFonts w:ascii="Arial" w:cs="Arial" w:eastAsia="Arial" w:hAnsi="Arial"/>
          <w:color w:val="4A5270"/>
          <w:sz w:val="19"/>
          <w:szCs w:val="19"/>
        </w:rPr>
        <w:t>Production Android application delivering CBSE Class 10 Science through Instagram-style vertical video reels, powered by a multi-LLM content pipeline.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Kotlin / Jetpack Compose · Supabase/PostgreSQL (7 schemas, 85+ RLS policies) · ExoPlayer · Razorpay · Hilt DI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84 Kotlin source files · SEAL v3 five-ring governance · 19 sealed API contracts · SealedContractTest CI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Multi-LLM pipeline: Claude + Gemini + ElevenLabs voice synthesis · automated subtitle generation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OTP auth · single-device enforcement · 300MB intelligent video cache · 40MB per-part cap · BunnyCDN delivery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Min SDK 24 (Android 7.0) · Target SDK 35 · Kotlin 2.0.21 · Jetpack Compose BOM 2024.11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MiVA Education Web Platform</w:t>
      </w:r>
      <w:r>
        <w:rPr>
          <w:rFonts w:ascii="Arial" w:cs="Arial" w:eastAsia="Arial" w:hAnsi="Arial"/>
          <w:color w:val="4A5270"/>
          <w:sz w:val="19"/>
          <w:szCs w:val="19"/>
        </w:rPr>
        <w:t xml:space="preserve">  —  </w:t>
      </w:r>
      <w:r>
        <w:rPr>
          <w:rFonts w:ascii="Arial" w:cs="Arial" w:eastAsia="Arial" w:hAnsi="Arial"/>
          <w:b/>
          <w:bCs/>
          <w:color w:val="0B6E4F"/>
          <w:sz w:val="19"/>
          <w:szCs w:val="19"/>
        </w:rPr>
        <w:t xml:space="preserve">mivaedu.com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2024 – Present  ·  </w:t>
      </w:r>
    </w:p>
    <w:p>
      <w:pPr>
        <w:spacing w:after="30" w:before="30"/>
      </w:pPr>
      <w:r>
        <w:rPr>
          <w:rFonts w:ascii="Arial" w:cs="Arial" w:eastAsia="Arial" w:hAnsi="Arial"/>
          <w:color w:val="4A5270"/>
          <w:sz w:val="19"/>
          <w:szCs w:val="19"/>
        </w:rPr>
        <w:t>Fully static, offline-capable learning platform for Indian students across CBSE and Kerala SCERT curricula. No login, no app, no cost.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CBSE Class 8 AI Module — 4 chapters, 5 interactive labs, India AI Map (8 state pins), 21 flashcards, 27 glossary terms, 8 quiz questions, completion certificate. 741KB total. Works fully offline.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CBSE Class 8 CT Module — 7 chapters, Decomposition Explorer lab, Binary Visualiser lab (0–255), fill-in-blank exercises, MCQs, exam prep with model answers, mini projects.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Kerala SCERT ICT Standard X — Chapter 1: Design Factory / Inkscape. Horizontal snap-scroll lab pattern, bilingual EN/Malayalam toggle, ARIA accessibility throughout.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Architecture: vanilla HTML/CSS/JS only · XOR-encoded contact · Web3Forms booking · cross-module navigation · teal #0B6E4F / navy #005F7F design systems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AI-Native SDLC Framework</w:t>
      </w:r>
      <w:r>
        <w:rPr>
          <w:rFonts w:ascii="Arial" w:cs="Arial" w:eastAsia="Arial" w:hAnsi="Arial"/>
          <w:color w:val="4A5270"/>
          <w:sz w:val="19"/>
          <w:szCs w:val="19"/>
        </w:rPr>
        <w:t xml:space="preserve">  —  </w:t>
      </w:r>
      <w:r>
        <w:rPr>
          <w:rFonts w:ascii="Arial" w:cs="Arial" w:eastAsia="Arial" w:hAnsi="Arial"/>
          <w:b/>
          <w:bCs/>
          <w:color w:val="0B6E4F"/>
          <w:sz w:val="19"/>
          <w:szCs w:val="19"/>
        </w:rPr>
        <w:t xml:space="preserve">github.com/suneesh-sidharth  ·  CC BY 4.0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  ·  </w:t>
      </w:r>
    </w:p>
    <w:p>
      <w:pPr>
        <w:spacing w:after="30" w:before="30"/>
      </w:pPr>
      <w:r>
        <w:rPr>
          <w:rFonts w:ascii="Arial" w:cs="Arial" w:eastAsia="Arial" w:hAnsi="Arial"/>
          <w:color w:val="4A5270"/>
          <w:sz w:val="19"/>
          <w:szCs w:val="19"/>
        </w:rPr>
        <w:t>A 7-phase AI development lifecycle governance methodology covering: FRAME → SEAL → SPEC → BUILD → VERIFY → RECONCILE → EVOLVE.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Companion documents: Master Build Guide · MiVA Case Study · Drift Audit Methodology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Positioning: governance overlay complementing GitHub Spec Kit and AWS Kiro — not competing. Applicable to any LLM-assisted solo or team development workflow.</w:t>
      </w:r>
    </w:p>
    <w:p>
      <w:pPr>
        <w:pBdr>
          <w:bottom w:val="single" w:color="0B6E4F" w:sz="4" w:space="1"/>
        </w:pBdr>
        <w:spacing w:after="60" w:before="240"/>
      </w:pPr>
      <w:r>
        <w:rPr>
          <w:rFonts w:ascii="Arial" w:cs="Arial" w:eastAsia="Arial" w:hAnsi="Arial"/>
          <w:b/>
          <w:bCs/>
          <w:caps/>
          <w:color w:val="0B6E4F"/>
          <w:spacing w:val="100"/>
          <w:sz w:val="19"/>
          <w:szCs w:val="19"/>
        </w:rPr>
        <w:t xml:space="preserve">Education &amp; Certifications</w:t>
      </w:r>
    </w:p>
    <w:p>
      <w:pPr>
        <w:tabs>
          <w:tab w:val="right" w:pos="9360"/>
        </w:tabs>
        <w:spacing w:after="30" w:before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Master of Computer Applications (MCA)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University of Calicut, Kerala  ·  2005</w:t>
      </w:r>
    </w:p>
    <w:p>
      <w:pPr>
        <w:tabs>
          <w:tab w:val="right" w:pos="9360"/>
        </w:tabs>
        <w:spacing w:after="30" w:before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B.Sc Mathematics &amp; Statistics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University of Calicut, Kerala  ·  2001</w:t>
      </w:r>
    </w:p>
    <w:p>
      <w:pPr>
        <w:tabs>
          <w:tab w:val="right" w:pos="9360"/>
        </w:tabs>
        <w:spacing w:after="30" w:before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Executive Programme in Strategic Digital Marketing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A5270"/>
          <w:sz w:val="18"/>
          <w:szCs w:val="18"/>
        </w:rPr>
        <w:t xml:space="preserve">University of Cambridge  ·  2019</w:t>
      </w:r>
    </w:p>
    <w:p>
      <w:pPr>
        <w:pBdr>
          <w:bottom w:val="single" w:color="0B6E4F" w:sz="4" w:space="1"/>
        </w:pBdr>
        <w:spacing w:after="60" w:before="240"/>
      </w:pPr>
      <w:r>
        <w:rPr>
          <w:rFonts w:ascii="Arial" w:cs="Arial" w:eastAsia="Arial" w:hAnsi="Arial"/>
          <w:b/>
          <w:bCs/>
          <w:caps/>
          <w:color w:val="0B6E4F"/>
          <w:spacing w:val="100"/>
          <w:sz w:val="19"/>
          <w:szCs w:val="19"/>
        </w:rPr>
        <w:t xml:space="preserve">Available For</w:t>
      </w:r>
    </w:p>
    <w:p>
      <w:pPr>
        <w:spacing w:after="30" w:before="30"/>
      </w:pPr>
      <w:r>
        <w:rPr>
          <w:rFonts w:ascii="Arial" w:cs="Arial" w:eastAsia="Arial" w:hAnsi="Arial"/>
          <w:color w:val="4A5270"/>
          <w:sz w:val="19"/>
          <w:szCs w:val="19"/>
        </w:rPr>
        <w:t xml:space="preserve">Remote freelance contracts (global)  ·  Enterprise AI consulting  ·  Long-term retained engagements  ·  UK / EU market  ·  AI governance advisory</w:t>
      </w:r>
    </w:p>
    <w:sectPr>
      <w:pgSz w:w="12240" w:h="15840" w:orient="portrait"/>
      <w:pgMar w:top="860" w:right="1080" w:bottom="8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rFonts w:ascii="Arial" w:cs="Arial" w:eastAsia="Arial" w:hAnsi="Arial"/>
        <w:color w:val="0B6E4F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27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2026-05-08T23:46:30.310Z</dcterms:created>
  <dcterms:modified xsi:type="dcterms:W3CDTF">2026-05-08T23:46:30.332Z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