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00"/>
        <w:jc w:val="center"/>
      </w:pPr>
      <w:r>
        <w:rPr>
          <w:rFonts w:ascii="Arial" w:cs="Arial" w:eastAsia="Arial" w:hAnsi="Arial"/>
          <w:b/>
          <w:bCs/>
          <w:color w:val="64748b"/>
          <w:sz w:val="22"/>
          <w:szCs w:val="22"/>
        </w:rPr>
        <w:t xml:space="preserve">A Foundational Whitepaper</w:t>
      </w:r>
    </w:p>
    <w:p>
      <w:pPr>
        <w:spacing w:after="200"/>
        <w:jc w:val="center"/>
      </w:pPr>
      <w:r>
        <w:rPr>
          <w:rFonts w:ascii="Arial" w:cs="Arial" w:eastAsia="Arial" w:hAnsi="Arial"/>
          <w:b/>
          <w:bCs/>
          <w:color w:val="002b4d"/>
          <w:sz w:val="64"/>
          <w:szCs w:val="64"/>
        </w:rPr>
        <w:t xml:space="preserve">Sealed Enterprise Architecture</w:t>
      </w:r>
    </w:p>
    <w:p>
      <w:pPr>
        <w:spacing w:after="60"/>
        <w:jc w:val="center"/>
      </w:pPr>
      <w:r>
        <w:rPr>
          <w:rFonts w:ascii="Arial" w:cs="Arial" w:eastAsia="Arial" w:hAnsi="Arial"/>
          <w:b/>
          <w:bCs/>
          <w:color w:val="0b6da8"/>
          <w:sz w:val="36"/>
          <w:szCs w:val="36"/>
        </w:rPr>
        <w:t xml:space="preserve">SEA 1.1</w:t>
      </w:r>
    </w:p>
    <w:p>
      <w:pPr>
        <w:spacing w:after="500"/>
        <w:jc w:val="center"/>
      </w:pPr>
      <w:r>
        <w:rPr>
          <w:rFonts w:ascii="Arial" w:cs="Arial" w:eastAsia="Arial" w:hAnsi="Arial"/>
          <w:i/>
          <w:iCs/>
          <w:color w:val="1a202c"/>
          <w:sz w:val="24"/>
          <w:szCs w:val="24"/>
        </w:rPr>
        <w:t xml:space="preserve">A Governance and Continuity Framework for Long-Lived AI-Era Systems</w:t>
      </w:r>
    </w:p>
    <w:p>
      <w:pPr>
        <w:pBdr>
          <w:top w:val="single" w:color="002b4d" w:sz="8" w:space="4"/>
          <w:bottom w:val="single" w:color="002b4d" w:sz="8" w:space="4"/>
        </w:pBdr>
        <w:spacing w:after="200" w:before="200"/>
        <w:jc w:val="center"/>
      </w:pPr>
      <w:r>
        <w:rPr>
          <w:rFonts w:ascii="Arial" w:cs="Arial" w:eastAsia="Arial" w:hAnsi="Arial"/>
          <w:b/>
          <w:bCs/>
          <w:color w:val="002b4d"/>
          <w:sz w:val="22"/>
          <w:szCs w:val="22"/>
        </w:rPr>
        <w:t xml:space="preserve">Version 1.1  ·  May 2026  ·  Suneesh Sidharthan</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10"/>
              <w:left w:val="single" w:color="002b4d" w:sz="10"/>
              <w:bottom w:val="single" w:color="002b4d" w:sz="10"/>
              <w:right w:val="single" w:color="002b4d" w:sz="10"/>
            </w:tcBorders>
            <w:shd w:fill="e7eef5" w:val="clear"/>
            <w:tcMar>
              <w:top w:type="dxa" w:w="180"/>
              <w:left w:type="dxa" w:w="220"/>
              <w:bottom w:type="dxa" w:w="180"/>
              <w:right w:type="dxa" w:w="220"/>
            </w:tcMar>
          </w:tcPr>
          <w:p>
            <w:pPr>
              <w:spacing w:after="100"/>
            </w:pPr>
            <w:r>
              <w:rPr>
                <w:rFonts w:ascii="Arial" w:cs="Arial" w:eastAsia="Arial" w:hAnsi="Arial"/>
                <w:b/>
                <w:bCs/>
                <w:color w:val="002b4d"/>
                <w:sz w:val="23"/>
                <w:szCs w:val="23"/>
              </w:rPr>
              <w:t xml:space="preserve">What this document is</w:t>
            </w:r>
          </w:p>
          <w:p>
            <w:pPr>
              <w:spacing w:after="70"/>
            </w:pPr>
            <w:r>
              <w:rPr>
                <w:rFonts w:ascii="Arial" w:cs="Arial" w:eastAsia="Arial" w:hAnsi="Arial"/>
                <w:color w:val="1a202c"/>
                <w:sz w:val="21"/>
                <w:szCs w:val="21"/>
              </w:rPr>
              <w:t xml:space="preserve">Sealed Enterprise Architecture (SEA) is a foundational architectural philosophy for building software systems that must outlive their technologies, their teams, their owners, and sometimes even their original purpose.</w:t>
            </w:r>
          </w:p>
          <w:p>
            <w:pPr>
              <w:spacing w:after="70"/>
            </w:pPr>
            <w:r>
              <w:rPr>
                <w:rFonts w:ascii="Arial" w:cs="Arial" w:eastAsia="Arial" w:hAnsi="Arial"/>
                <w:color w:val="1a202c"/>
                <w:sz w:val="21"/>
                <w:szCs w:val="21"/>
              </w:rPr>
              <w:t xml:space="preserve">It is not an evolution of any existing methodology. It is a first-principles response to a reality modern enterprises can no longer ignore: the systems we build today must survive changes to everything around them — including the AI tools we build them with.</w:t>
            </w:r>
          </w:p>
          <w:p>
            <w:pPr>
              <w:spacing w:after="70"/>
            </w:pPr>
            <w:r>
              <w:rPr>
                <w:rFonts w:ascii="Arial" w:cs="Arial" w:eastAsia="Arial" w:hAnsi="Arial"/>
                <w:color w:val="1a202c"/>
                <w:sz w:val="21"/>
                <w:szCs w:val="21"/>
              </w:rPr>
              <w:t xml:space="preserve">This document defines the philosophy, names the gaps in current practice, specifies the architecture, and provides an adoption pathway. It is written for enterprise architects, CIOs, CTOs, and engineering leaders responsible for systems with multi-decade lifetimes.</w:t>
            </w:r>
          </w:p>
        </w:tc>
      </w:tr>
    </w:tbl>
    <w:p>
      <w:r>
        <w:br w:type="page"/>
      </w:r>
    </w:p>
    <w:p>
      <w:pPr>
        <w:pStyle w:val="Heading1"/>
        <w:spacing w:after="160" w:before="480"/>
      </w:pPr>
      <w:r>
        <w:rPr>
          <w:rFonts w:ascii="Arial" w:cs="Arial" w:eastAsia="Arial" w:hAnsi="Arial"/>
          <w:b/>
          <w:bCs/>
          <w:color w:val="002b4d"/>
          <w:sz w:val="38"/>
          <w:szCs w:val="38"/>
        </w:rPr>
        <w:t xml:space="preserve">Contents</w:t>
      </w:r>
    </w:p>
    <w:p>
      <w:pPr>
        <w:spacing w:after="200"/>
        <w:jc w:val="both"/>
      </w:pPr>
      <w:r>
        <w:rPr>
          <w:rFonts w:ascii="Arial" w:cs="Arial" w:eastAsia="Arial" w:hAnsi="Arial"/>
          <w:color w:val="1a202c"/>
          <w:sz w:val="21"/>
          <w:szCs w:val="21"/>
        </w:rPr>
        <w:t xml:space="preserve">This whitepaper is organised in four parts and three annexes: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t>
            </w:r>
          </w:p>
        </w:tc>
        <w:tc>
          <w:tcPr>
            <w:tcW w:type="dxa" w:w="35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Section</w:t>
            </w:r>
          </w:p>
        </w:tc>
        <w:tc>
          <w:tcPr>
            <w:tcW w:type="dxa" w:w="50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PART I — THE PROBLEM</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Bridge Problem</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Opening metaphor and core thesis</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2</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Gaps in Current Architectural Practice</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Thirty-two assumptions no longer valid</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3</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Why AI Makes These Gaps Lethal</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How velocity amplifies structural weakness</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4</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Failure Mode Catalogue</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Fourteen named patterns of architectural collapse</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5</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Stakes</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What it costs to keep building the old way</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PART II — THE PHILOSOPHY</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6</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Core Insight</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Separating the durable from the transient</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7</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Seven Principles of SEA</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axioms the rest of the framework rests on</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8</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Bridge Analogy, Fully Developed</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canonical explanatory frame</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PART III — THE ARCHITECTURE</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9</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Five Architectural Layers</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How SEA is structured</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10</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Sealed Contract Format</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Reference specification</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11</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Governance Protocol</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Roles, review, succession, retirement</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PART IV — ADOPTION</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12</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Enterprise Adoption Pathway</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From pilot to organisation-wide</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13</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Closing — What This Unlocks</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vision, honestly stated</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ANNEXES</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MiVA as a Validation Case</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One platform where a subset was applied</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B</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Glossary</w:t>
            </w:r>
          </w:p>
        </w:tc>
        <w:tc>
          <w:tcPr>
            <w:tcW w:type="dxa" w:w="50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Key terms defined</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Further Reading</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Related paradigms and references</w:t>
            </w:r>
          </w:p>
        </w:tc>
      </w:tr>
    </w:tbl>
    <w:p>
      <w:r>
        <w:br w:type="page"/>
      </w:r>
    </w:p>
    <w:p>
      <w:pPr>
        <w:pStyle w:val="Heading1"/>
        <w:spacing w:after="160" w:before="480"/>
      </w:pPr>
      <w:r>
        <w:rPr>
          <w:rFonts w:ascii="Arial" w:cs="Arial" w:eastAsia="Arial" w:hAnsi="Arial"/>
          <w:b/>
          <w:bCs/>
          <w:color w:val="002b4d"/>
          <w:sz w:val="38"/>
          <w:szCs w:val="38"/>
        </w:rPr>
        <w:t xml:space="preserve">Executive Summary</w:t>
      </w:r>
    </w:p>
    <w:p>
      <w:pPr>
        <w:spacing w:after="140"/>
        <w:jc w:val="both"/>
      </w:pPr>
      <w:r>
        <w:rPr>
          <w:rFonts w:ascii="Arial" w:cs="Arial" w:eastAsia="Arial" w:hAnsi="Arial"/>
          <w:color w:val="1a202c"/>
          <w:sz w:val="21"/>
          <w:szCs w:val="21"/>
        </w:rPr>
        <w:t xml:space="preserve">Every decade, enterprise software faces a crisis of longevity. Systems built to last twenty years ossify in seven. Systems meant to scale become impossible to maintain. Systems designed around today's best practices become tomorrow's technical debt. And the people who knew why each decision was made have long since moved on.</w:t>
      </w:r>
    </w:p>
    <w:p>
      <w:pPr>
        <w:spacing w:after="140"/>
        <w:jc w:val="both"/>
      </w:pPr>
      <w:r>
        <w:rPr>
          <w:rFonts w:ascii="Arial" w:cs="Arial" w:eastAsia="Arial" w:hAnsi="Arial"/>
          <w:color w:val="1a202c"/>
          <w:sz w:val="21"/>
          <w:szCs w:val="21"/>
        </w:rPr>
        <w:t xml:space="preserve">This has always been true. What has changed in the past three years is that artificial intelligence has become a primary force in how software is built — and the gap between how we build systems and how long they must live has widened to the point of structural failure.</w:t>
      </w:r>
    </w:p>
    <w:p>
      <w:pPr>
        <w:spacing w:after="140"/>
        <w:jc w:val="both"/>
      </w:pPr>
      <w:r>
        <w:rPr>
          <w:rFonts w:ascii="Arial" w:cs="Arial" w:eastAsia="Arial" w:hAnsi="Arial"/>
          <w:color w:val="1a202c"/>
          <w:sz w:val="21"/>
          <w:szCs w:val="21"/>
        </w:rPr>
        <w:t xml:space="preserve">AI assistants accelerate development by orders of magnitude. They also introduce new failure modes: hallucinated interfaces, silent specification drift, cross-session context loss, model capability regression, and the silent decay of institutional memory across rapidly rotating AI generations. Pre-AI architectures assumed humans held the system in their heads. Post-AI, that assumption is no longer sustainable.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A system that must outlive its technology, its team, its owner, and its purpose cannot depend on any of them being stable.</w:t>
            </w:r>
          </w:p>
        </w:tc>
      </w:tr>
    </w:tbl>
    <w:p>
      <w:pPr>
        <w:spacing w:after="140"/>
        <w:jc w:val="both"/>
      </w:pPr>
      <w:r>
        <w:rPr>
          <w:rFonts w:ascii="Arial" w:cs="Arial" w:eastAsia="Arial" w:hAnsi="Arial"/>
          <w:color w:val="1a202c"/>
          <w:sz w:val="21"/>
          <w:szCs w:val="21"/>
        </w:rPr>
        <w:t xml:space="preserve">Sealed Enterprise Architecture (SEA) is a response to this reality. It is built on a single insight: every long-lived system must explicitly separate what is durable from what is transient, and must provide named mechanisms for the transient to change without threatening the durable.</w:t>
      </w:r>
    </w:p>
    <w:p>
      <w:pPr>
        <w:spacing w:after="140"/>
        <w:jc w:val="both"/>
      </w:pPr>
      <w:r>
        <w:rPr>
          <w:rFonts w:ascii="Arial" w:cs="Arial" w:eastAsia="Arial" w:hAnsi="Arial"/>
          <w:color w:val="1a202c"/>
          <w:sz w:val="21"/>
          <w:szCs w:val="21"/>
        </w:rPr>
        <w:t xml:space="preserve">This whitepaper makes four contributions:</w:t>
      </w:r>
    </w:p>
    <w:p>
      <w:pPr>
        <w:pStyle w:val="ListParagraph"/>
        <w:numPr>
          <w:ilvl w:val="0"/>
          <w:numId w:val="2"/>
        </w:numPr>
        <w:spacing w:after="70"/>
      </w:pPr>
      <w:r>
        <w:rPr>
          <w:rFonts w:ascii="Arial" w:cs="Arial" w:eastAsia="Arial" w:hAnsi="Arial"/>
          <w:color w:val="1a202c"/>
          <w:sz w:val="21"/>
          <w:szCs w:val="21"/>
        </w:rPr>
        <w:t xml:space="preserve">It articulates, for the first time in a single document, thirty-two gaps in current architectural practice that prevent long-lived systems from truly enduring — gaps that were tolerable in the pre-AI era and have become lethal in the AI era.</w:t>
      </w:r>
    </w:p>
    <w:p>
      <w:pPr>
        <w:pStyle w:val="ListParagraph"/>
        <w:numPr>
          <w:ilvl w:val="0"/>
          <w:numId w:val="2"/>
        </w:numPr>
        <w:spacing w:after="70"/>
      </w:pPr>
      <w:r>
        <w:rPr>
          <w:rFonts w:ascii="Arial" w:cs="Arial" w:eastAsia="Arial" w:hAnsi="Arial"/>
          <w:color w:val="1a202c"/>
          <w:sz w:val="21"/>
          <w:szCs w:val="21"/>
        </w:rPr>
        <w:t xml:space="preserve">It proposes seven architectural principles, derived from first principles, that together define Sealed Enterprise Architecture as a distinct philosophy.</w:t>
      </w:r>
    </w:p>
    <w:p>
      <w:pPr>
        <w:pStyle w:val="ListParagraph"/>
        <w:numPr>
          <w:ilvl w:val="0"/>
          <w:numId w:val="2"/>
        </w:numPr>
        <w:spacing w:after="70"/>
      </w:pPr>
      <w:r>
        <w:rPr>
          <w:rFonts w:ascii="Arial" w:cs="Arial" w:eastAsia="Arial" w:hAnsi="Arial"/>
          <w:color w:val="1a202c"/>
          <w:sz w:val="21"/>
          <w:szCs w:val="21"/>
        </w:rPr>
        <w:t xml:space="preserve">It specifies a five-layer architecture — contract, intent, verification, governance, evolution — with a reference format for sealed contracts that is language-agnostic, portable, and AI-readable by design.</w:t>
      </w:r>
    </w:p>
    <w:p>
      <w:pPr>
        <w:pStyle w:val="ListParagraph"/>
        <w:numPr>
          <w:ilvl w:val="0"/>
          <w:numId w:val="2"/>
        </w:numPr>
        <w:spacing w:after="70"/>
      </w:pPr>
      <w:r>
        <w:rPr>
          <w:rFonts w:ascii="Arial" w:cs="Arial" w:eastAsia="Arial" w:hAnsi="Arial"/>
          <w:color w:val="1a202c"/>
          <w:sz w:val="21"/>
          <w:szCs w:val="21"/>
        </w:rPr>
        <w:t xml:space="preserve">It defines an enterprise adoption pathway, mapping SEA to existing practices (TOGAF, Clean Architecture, Domain-Driven Design, Spec-Driven Development) and compliance regimes (ISO 9001/27001, SOX, GxP, HIPAA).</w:t>
      </w:r>
    </w:p>
    <w:p>
      <w:pPr>
        <w:spacing w:after="140"/>
        <w:jc w:val="both"/>
      </w:pPr>
      <w:r>
        <w:rPr>
          <w:rFonts w:ascii="Arial" w:cs="Arial" w:eastAsia="Arial" w:hAnsi="Arial"/>
          <w:color w:val="1a202c"/>
          <w:sz w:val="21"/>
          <w:szCs w:val="21"/>
        </w:rPr>
        <w:t xml:space="preserve">The philosophy is foundational. It does not replace existing architectural patterns — monolithic, microservices, event-driven, hexagonal — but it sits underneath them, governing how they are contracted, owned, evolved, and eventually retired.</w:t>
      </w:r>
    </w:p>
    <w:p>
      <w:pPr>
        <w:spacing w:after="140"/>
        <w:jc w:val="both"/>
      </w:pPr>
      <w:r>
        <w:rPr>
          <w:rFonts w:ascii="Arial" w:cs="Arial" w:eastAsia="Arial" w:hAnsi="Arial"/>
          <w:color w:val="1a202c"/>
          <w:sz w:val="21"/>
          <w:szCs w:val="21"/>
        </w:rPr>
        <w:t xml:space="preserve">One working implementation of a subset of these principles exists: the MiVA Education platform, built over twelve months by a solo engineer across five generations of AI models. That validation case is presented in Annex A. It is not the origin of SEA — SEA is the theory that the MiVA build, in retrospect, was groping toward. This document articulates the theory fully, for the first time, with the benefit of hindsight and generalisation.</w:t>
      </w:r>
    </w:p>
    <w:p>
      <w:pPr>
        <w:pStyle w:val="Heading2"/>
        <w:spacing w:after="100" w:before="320"/>
      </w:pPr>
      <w:r>
        <w:rPr>
          <w:rFonts w:ascii="Arial" w:cs="Arial" w:eastAsia="Arial" w:hAnsi="Arial"/>
          <w:b/>
          <w:bCs/>
          <w:color w:val="1a202c"/>
          <w:sz w:val="28"/>
          <w:szCs w:val="28"/>
        </w:rPr>
        <w:t xml:space="preserve">What SEA Is Not</w:t>
      </w:r>
    </w:p>
    <w:p>
      <w:pPr>
        <w:spacing w:after="100"/>
        <w:jc w:val="center"/>
      </w:pPr>
      <w:r>
        <w:rPr>
          <w:rFonts w:ascii="Arial" w:cs="Arial" w:eastAsia="Arial" w:hAnsi="Arial"/>
          <w:b/>
          <w:bCs/>
          <w:color w:val="64748b"/>
          <w:sz w:val="22"/>
          <w:szCs w:val="22"/>
        </w:rPr>
        <w:t xml:space="preserve">SEA is not a replacement for any existing architectural framework. It does not compete with TOGAF for enterprise architecture governance, with Domain-Driven Design for domain modelling, with Clean or Hexagonal Architecture for code-level structure, with microservices or event-driven patterns for runtime architecture, or with Scrum or SAFe for team process. These frameworks each address questions SEA does not. SEA addresses one question they have historically left implicit: how does an architectural artefact survive change to the people, technologies, owners, and purposes around it across decades? SEA is therefore designed to sit alongside whichever architectural and process frameworks an organisation already uses, adding the longevity-and-governance dimension as an explicit layer rather than displacing anything that already works.</w:t>
      </w:r>
    </w:p>
    <w:p>
      <w:r>
        <w:br w:type="page"/>
      </w:r>
    </w:p>
    <w:p>
      <w:pPr>
        <w:spacing w:after="100" w:before="600"/>
        <w:jc w:val="center"/>
      </w:pPr>
      <w:r>
        <w:rPr>
          <w:rFonts w:ascii="Arial" w:cs="Arial" w:eastAsia="Arial" w:hAnsi="Arial"/>
          <w:b/>
          <w:bCs/>
          <w:color w:val="64748b"/>
          <w:sz w:val="24"/>
          <w:szCs w:val="24"/>
        </w:rPr>
        <w:t xml:space="preserve">PART I</w:t>
      </w:r>
    </w:p>
    <w:p>
      <w:pPr>
        <w:spacing w:after="400"/>
        <w:jc w:val="center"/>
      </w:pPr>
      <w:r>
        <w:rPr>
          <w:rFonts w:ascii="Arial" w:cs="Arial" w:eastAsia="Arial" w:hAnsi="Arial"/>
          <w:b/>
          <w:bCs/>
          <w:color w:val="002b4d"/>
          <w:sz w:val="56"/>
          <w:szCs w:val="56"/>
        </w:rPr>
        <w:t xml:space="preserve">The Problem</w:t>
      </w:r>
    </w:p>
    <w:p>
      <w:pPr>
        <w:spacing w:after="200"/>
        <w:jc w:val="center"/>
      </w:pPr>
      <w:r>
        <w:rPr>
          <w:rFonts w:ascii="Arial" w:cs="Arial" w:eastAsia="Arial" w:hAnsi="Arial"/>
          <w:i/>
          <w:iCs/>
          <w:color w:val="1a202c"/>
          <w:sz w:val="24"/>
          <w:szCs w:val="24"/>
        </w:rPr>
        <w:t xml:space="preserve">Why long-lived systems keep failing,
and why AI makes the old failures lethal.</w:t>
      </w:r>
    </w:p>
    <w:p>
      <w:r>
        <w:br w:type="page"/>
      </w:r>
    </w:p>
    <w:p>
      <w:pPr>
        <w:pStyle w:val="Heading1"/>
        <w:spacing w:after="160" w:before="480"/>
      </w:pPr>
      <w:r>
        <w:rPr>
          <w:rFonts w:ascii="Arial" w:cs="Arial" w:eastAsia="Arial" w:hAnsi="Arial"/>
          <w:b/>
          <w:bCs/>
          <w:color w:val="002b4d"/>
          <w:sz w:val="38"/>
          <w:szCs w:val="38"/>
        </w:rPr>
        <w:t xml:space="preserve">1. The Bridge Problem</w:t>
      </w:r>
    </w:p>
    <w:p>
      <w:pPr>
        <w:spacing w:after="140"/>
        <w:jc w:val="both"/>
      </w:pPr>
      <w:r>
        <w:rPr>
          <w:rFonts w:ascii="Arial" w:cs="Arial" w:eastAsia="Arial" w:hAnsi="Arial"/>
          <w:color w:val="1a202c"/>
          <w:sz w:val="21"/>
          <w:szCs w:val="21"/>
        </w:rPr>
        <w:t xml:space="preserve">Consider a bridge commissioned in 1975 to span a river between two industrial towns. It was engineered to carry fifty thousand vehicles per day. The concrete mix, the steel grade, and the cable specifications reflected the best civil engineering practice of that era.</w:t>
      </w:r>
    </w:p>
    <w:p>
      <w:pPr>
        <w:spacing w:after="140"/>
        <w:jc w:val="both"/>
      </w:pPr>
      <w:r>
        <w:rPr>
          <w:rFonts w:ascii="Arial" w:cs="Arial" w:eastAsia="Arial" w:hAnsi="Arial"/>
          <w:color w:val="1a202c"/>
          <w:sz w:val="21"/>
          <w:szCs w:val="21"/>
        </w:rPr>
        <w:t xml:space="preserve">Today, fifty-one years later, the bridge still stands. It still carries traffic. But almost nothing about its context is what it was.</w:t>
      </w:r>
    </w:p>
    <w:p>
      <w:pPr>
        <w:pStyle w:val="ListParagraph"/>
        <w:numPr>
          <w:ilvl w:val="0"/>
          <w:numId w:val="3"/>
        </w:numPr>
        <w:spacing w:after="70"/>
      </w:pPr>
      <w:r>
        <w:rPr>
          <w:rFonts w:ascii="Arial" w:cs="Arial" w:eastAsia="Arial" w:hAnsi="Arial"/>
          <w:color w:val="1a202c"/>
          <w:sz w:val="21"/>
          <w:szCs w:val="21"/>
        </w:rPr>
        <w:t xml:space="preserve">The concrete has been resurfaced three times. The road deck has been replaced twice. New composite materials, unavailable in 1975, were used in the last refurbishment.</w:t>
      </w:r>
    </w:p>
    <w:p>
      <w:pPr>
        <w:pStyle w:val="ListParagraph"/>
        <w:numPr>
          <w:ilvl w:val="0"/>
          <w:numId w:val="3"/>
        </w:numPr>
        <w:spacing w:after="70"/>
      </w:pPr>
      <w:r>
        <w:rPr>
          <w:rFonts w:ascii="Arial" w:cs="Arial" w:eastAsia="Arial" w:hAnsi="Arial"/>
          <w:color w:val="1a202c"/>
          <w:sz w:val="21"/>
          <w:szCs w:val="21"/>
        </w:rPr>
        <w:t xml:space="preserve">The original chief engineer retired in 1998. The second generation of engineers have themselves now retired. The current maintenance team consists of engineers born after the bridge was commissioned.</w:t>
      </w:r>
    </w:p>
    <w:p>
      <w:pPr>
        <w:pStyle w:val="ListParagraph"/>
        <w:numPr>
          <w:ilvl w:val="0"/>
          <w:numId w:val="3"/>
        </w:numPr>
        <w:spacing w:after="70"/>
      </w:pPr>
      <w:r>
        <w:rPr>
          <w:rFonts w:ascii="Arial" w:cs="Arial" w:eastAsia="Arial" w:hAnsi="Arial"/>
          <w:color w:val="1a202c"/>
          <w:sz w:val="21"/>
          <w:szCs w:val="21"/>
        </w:rPr>
        <w:t xml:space="preserve">Ownership has changed three times. It began as a national infrastructure asset, was privatised to a consortium in 1992, was acquired by a holding company in 2008, and in 2019 reverted to regional government control under a public-private partnership.</w:t>
      </w:r>
    </w:p>
    <w:p>
      <w:pPr>
        <w:pStyle w:val="ListParagraph"/>
        <w:numPr>
          <w:ilvl w:val="0"/>
          <w:numId w:val="3"/>
        </w:numPr>
        <w:spacing w:after="70"/>
      </w:pPr>
      <w:r>
        <w:rPr>
          <w:rFonts w:ascii="Arial" w:cs="Arial" w:eastAsia="Arial" w:hAnsi="Arial"/>
          <w:color w:val="1a202c"/>
          <w:sz w:val="21"/>
          <w:szCs w:val="21"/>
        </w:rPr>
        <w:t xml:space="preserve">The two industrial towns the bridge was built to connect have transformed. One is now a commuter suburb; the other hosts a research university. The bridge today serves different people, for different purposes, with different usage patterns, than anyone imagined in 1975.</w:t>
      </w:r>
    </w:p>
    <w:p>
      <w:pPr>
        <w:spacing w:after="140"/>
        <w:jc w:val="both"/>
      </w:pPr>
      <w:r>
        <w:rPr>
          <w:rFonts w:ascii="Arial" w:cs="Arial" w:eastAsia="Arial" w:hAnsi="Arial"/>
          <w:color w:val="1a202c"/>
          <w:sz w:val="21"/>
          <w:szCs w:val="21"/>
        </w:rPr>
        <w:t xml:space="preserve">And yet: the bridge works. People cross it every day, mostly unaware of any of this history. The reason is that civil engineering, over centuries of trial and error, has developed an implicit discipline for building structures that outlive everything about them. The pillars are engineered to be sealed — they cannot be modified once poured, and any new load requirement is met by adding new pillars alongside, not by retrofitting the old ones. The span above the pillars can be replaced without touching the foundations. The road surface can change entirely without affecting the span. Ownership transitions come with formal inspection regimes and transfer protocols. And when a bridge's purpose changes materially — when a vehicle bridge becomes a pedestrian and cycle route, for instance — it goes through a formal reassessment, often alongside the construction of a new bridge to carry the old traffic.</w:t>
      </w:r>
    </w:p>
    <w:p>
      <w:pPr>
        <w:spacing w:after="140"/>
        <w:jc w:val="both"/>
      </w:pPr>
      <w:r>
        <w:rPr>
          <w:rFonts w:ascii="Arial" w:cs="Arial" w:eastAsia="Arial" w:hAnsi="Arial"/>
          <w:color w:val="1a202c"/>
          <w:sz w:val="21"/>
          <w:szCs w:val="21"/>
        </w:rPr>
        <w:t xml:space="preserve">This is not accidental. It is the accumulated wisdom of civil engineering: long-lived structures require named, formal mechanisms for change at every level of the structure, and these mechanisms must be designed in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Software engineering has no such discipline.</w:t>
            </w:r>
          </w:p>
        </w:tc>
      </w:tr>
    </w:tbl>
    <w:p>
      <w:pPr>
        <w:pStyle w:val="Heading2"/>
        <w:spacing w:after="100" w:before="320"/>
      </w:pPr>
      <w:r>
        <w:rPr>
          <w:rFonts w:ascii="Arial" w:cs="Arial" w:eastAsia="Arial" w:hAnsi="Arial"/>
          <w:b/>
          <w:bCs/>
          <w:color w:val="1a202c"/>
          <w:sz w:val="28"/>
          <w:szCs w:val="28"/>
        </w:rPr>
        <w:t xml:space="preserve">1.1 The Software Analogue</w:t>
      </w:r>
    </w:p>
    <w:p>
      <w:pPr>
        <w:spacing w:after="140"/>
        <w:jc w:val="both"/>
      </w:pPr>
      <w:r>
        <w:rPr>
          <w:rFonts w:ascii="Arial" w:cs="Arial" w:eastAsia="Arial" w:hAnsi="Arial"/>
          <w:color w:val="1a202c"/>
          <w:sz w:val="21"/>
          <w:szCs w:val="21"/>
        </w:rPr>
        <w:t xml:space="preserve">A software system commissioned in 2015 to serve ten thousand users will, a decade later, face every one of the bridge's four pressures: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Dimension</w:t>
            </w:r>
          </w:p>
        </w:tc>
        <w:tc>
          <w:tcPr>
            <w:tcW w:type="dxa" w:w="35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Bridge</w:t>
            </w:r>
          </w:p>
        </w:tc>
        <w:tc>
          <w:tcPr>
            <w:tcW w:type="dxa" w:w="36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Software System</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Component technology changes</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Concrete → composite. Steel → new alloys. New construction methods emerge.</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Languages deprecate. Frameworks die. Databases rewrite themselves. Cloud providers rotate services. AI models supersede each other every 2-4 months.</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Teams change</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Engineers retire. New engineers know newer techniques but not the original design intent.</w:t>
            </w:r>
          </w:p>
        </w:tc>
        <w:tc>
          <w:tcPr>
            <w:tcW w:type="dxa" w:w="36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Original developers leave. New engineers join. Institutional memory fades. The 'why' of decisions is lost.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Ownership changes</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Assets transfer between governments, consortiums, public-private partnerships.</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Companies are acquired. Business units are sold. Vendors are replaced. Outsourcing contracts begin and end.</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Purpose changes</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Industrial towns become suburbs. Vehicle bridges become pedestrian routes.</w:t>
            </w:r>
          </w:p>
        </w:tc>
        <w:tc>
          <w:tcPr>
            <w:tcW w:type="dxa" w:w="36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Products pivot. Regulatory regimes change. User bases shift. Business models transform.</w:t>
            </w:r>
          </w:p>
        </w:tc>
      </w:tr>
    </w:tbl>
    <w:p>
      <w:pPr>
        <w:spacing w:after="140"/>
        <w:jc w:val="both"/>
      </w:pPr>
      <w:r>
        <w:rPr>
          <w:rFonts w:ascii="Arial" w:cs="Arial" w:eastAsia="Arial" w:hAnsi="Arial"/>
          <w:color w:val="1a202c"/>
          <w:sz w:val="21"/>
          <w:szCs w:val="21"/>
        </w:rPr>
        <w:t xml:space="preserve">In civil engineering, this discipline is unified, formalised, and codified in regulation, training, and practice. In software engineering, the equivalent ideas exist in fragments — Parnas's information hiding, ports and adapters, ADRs, bounded contexts, semantic versioning — but they have never been consolidated into a single discipline of long-lived structural engineering. We build systems for the users we have today, with the technology available this quarter, using the team currently employed, under the ownership currently in place. We assume all of these will remain stable — or, more honestly, we do not think about them at all.</w:t>
      </w:r>
    </w:p>
    <w:p>
      <w:pPr>
        <w:spacing w:after="140"/>
        <w:jc w:val="both"/>
      </w:pPr>
      <w:r>
        <w:rPr>
          <w:rFonts w:ascii="Arial" w:cs="Arial" w:eastAsia="Arial" w:hAnsi="Arial"/>
          <w:color w:val="1a202c"/>
          <w:sz w:val="21"/>
          <w:szCs w:val="21"/>
        </w:rPr>
        <w:t xml:space="preserve">When any of them change, the system fails. Sometimes it fails dramatically, in a public outage or a regulatory finding. More often it fails quietly: the system becomes unmaintainable, decisions accumulate that nobody remembers making, the codebase ossifies, and eventually someone proposes a complete rewrite — which, itself, will face the same forces in ten years' time.</w:t>
      </w:r>
    </w:p>
    <w:p>
      <w:pPr>
        <w:pStyle w:val="Heading2"/>
        <w:spacing w:after="100" w:before="320"/>
      </w:pPr>
      <w:r>
        <w:rPr>
          <w:rFonts w:ascii="Arial" w:cs="Arial" w:eastAsia="Arial" w:hAnsi="Arial"/>
          <w:b/>
          <w:bCs/>
          <w:color w:val="1a202c"/>
          <w:sz w:val="28"/>
          <w:szCs w:val="28"/>
        </w:rPr>
        <w:t xml:space="preserve">1.2 Why This Matters Now</w:t>
      </w:r>
    </w:p>
    <w:p>
      <w:pPr>
        <w:spacing w:after="140"/>
        <w:jc w:val="both"/>
      </w:pPr>
      <w:r>
        <w:rPr>
          <w:rFonts w:ascii="Arial" w:cs="Arial" w:eastAsia="Arial" w:hAnsi="Arial"/>
          <w:color w:val="1a202c"/>
          <w:sz w:val="21"/>
          <w:szCs w:val="21"/>
        </w:rPr>
        <w:t xml:space="preserve">Two forces have made the bridge problem acute:</w:t>
      </w:r>
    </w:p>
    <w:p>
      <w:pPr>
        <w:pStyle w:val="Heading3"/>
        <w:spacing w:after="80" w:before="220"/>
      </w:pPr>
      <w:r>
        <w:rPr>
          <w:rFonts w:ascii="Arial" w:cs="Arial" w:eastAsia="Arial" w:hAnsi="Arial"/>
          <w:b/>
          <w:bCs/>
          <w:color w:val="004271"/>
          <w:sz w:val="23"/>
          <w:szCs w:val="23"/>
        </w:rPr>
        <w:t xml:space="preserve">First: expected software lifetimes are lengthening.</w:t>
      </w:r>
    </w:p>
    <w:p>
      <w:pPr>
        <w:spacing w:after="140"/>
        <w:jc w:val="both"/>
      </w:pPr>
      <w:r>
        <w:rPr>
          <w:rFonts w:ascii="Arial" w:cs="Arial" w:eastAsia="Arial" w:hAnsi="Arial"/>
          <w:color w:val="1a202c"/>
          <w:sz w:val="21"/>
          <w:szCs w:val="21"/>
        </w:rPr>
        <w:t xml:space="preserve">In the 1990s, enterprise software was expected to last five to seven years before being replaced. Today, the replacement cycle is longer, not shorter. Systems implemented in the early 2000s — core banking platforms, hospital record systems, government citizen services, manufacturing execution systems — are still in production. Many will still be in production in 2040. The forty-year software lifetime is no longer hypothetical; it is the median case for systems with network effects, regulatory anchoring, or deep data dependencies.</w:t>
      </w:r>
    </w:p>
    <w:p>
      <w:pPr>
        <w:pStyle w:val="Heading3"/>
        <w:spacing w:after="80" w:before="220"/>
      </w:pPr>
      <w:r>
        <w:rPr>
          <w:rFonts w:ascii="Arial" w:cs="Arial" w:eastAsia="Arial" w:hAnsi="Arial"/>
          <w:b/>
          <w:bCs/>
          <w:color w:val="004271"/>
          <w:sz w:val="23"/>
          <w:szCs w:val="23"/>
        </w:rPr>
        <w:t xml:space="preserve">Second: AI has collapsed the unit of change.</w:t>
      </w:r>
    </w:p>
    <w:p>
      <w:pPr>
        <w:spacing w:after="140"/>
        <w:jc w:val="both"/>
      </w:pPr>
      <w:r>
        <w:rPr>
          <w:rFonts w:ascii="Arial" w:cs="Arial" w:eastAsia="Arial" w:hAnsi="Arial"/>
          <w:color w:val="1a202c"/>
          <w:sz w:val="21"/>
          <w:szCs w:val="21"/>
        </w:rPr>
        <w:t xml:space="preserve">Before AI-assisted development, an engineer might produce five hundred lines of code in a day. With AI assistance, that same engineer can produce five thousand lines, across multiple files, in different styles, influenced by models that themselves change every few months. The rate at which software is modified has increased by an order of magnitude. The rate at which institutional memory is created has not.</w:t>
      </w:r>
    </w:p>
    <w:p>
      <w:pPr>
        <w:spacing w:after="140"/>
        <w:jc w:val="both"/>
      </w:pPr>
      <w:r>
        <w:rPr>
          <w:rFonts w:ascii="Arial" w:cs="Arial" w:eastAsia="Arial" w:hAnsi="Arial"/>
          <w:color w:val="1a202c"/>
          <w:sz w:val="21"/>
          <w:szCs w:val="21"/>
        </w:rPr>
        <w:t xml:space="preserve">Systems now change faster than humans can maintain understanding of them. A codebase that was legible to its team in January 2025 may, by January 2026, contain substantial regions no single person has read end-to-end, authored in a mix of patterns reflecting multiple AI model generations, with intent that exists only in now-deleted chat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The gap between how fast we build and how long we must maintain has become a structural crisis.</w:t>
            </w:r>
          </w:p>
        </w:tc>
      </w:tr>
    </w:tbl>
    <w:p>
      <w:pPr>
        <w:pStyle w:val="Heading2"/>
        <w:spacing w:after="100" w:before="320"/>
      </w:pPr>
      <w:r>
        <w:rPr>
          <w:rFonts w:ascii="Arial" w:cs="Arial" w:eastAsia="Arial" w:hAnsi="Arial"/>
          <w:b/>
          <w:bCs/>
          <w:color w:val="1a202c"/>
          <w:sz w:val="28"/>
          <w:szCs w:val="28"/>
        </w:rPr>
        <w:t xml:space="preserve">1.3 The Thesis</w:t>
      </w:r>
    </w:p>
    <w:p>
      <w:pPr>
        <w:spacing w:after="140"/>
        <w:jc w:val="both"/>
      </w:pPr>
      <w:r>
        <w:rPr>
          <w:rFonts w:ascii="Arial" w:cs="Arial" w:eastAsia="Arial" w:hAnsi="Arial"/>
          <w:color w:val="1a202c"/>
          <w:sz w:val="21"/>
          <w:szCs w:val="21"/>
        </w:rPr>
        <w:t xml:space="preserve">Sealed Enterprise Architecture proposes that the solution is not incremental — not better documentation, not tighter code review, not more AI governance tools. These are useful but insufficient. The solution requires an architectural philosophy designed from first principles around the assumption that everything changes, and that only explicit, sealed, formally-protected contracts can survive the changes.</w:t>
      </w:r>
    </w:p>
    <w:p>
      <w:pPr>
        <w:spacing w:after="140"/>
        <w:jc w:val="both"/>
      </w:pPr>
      <w:r>
        <w:rPr>
          <w:rFonts w:ascii="Arial" w:cs="Arial" w:eastAsia="Arial" w:hAnsi="Arial"/>
          <w:color w:val="1a202c"/>
          <w:sz w:val="21"/>
          <w:szCs w:val="21"/>
        </w:rPr>
        <w:t xml:space="preserve">The rest of this whitepaper develops that philosophy. Part I establishes the problem in detail: the specific gaps in current practice, the failure modes they produce, and the business case for addressing them. Part II articulates the philosophy itself. Part III specifies the architecture. Part IV provides an adoption pathway for enterprises.</w:t>
      </w:r>
    </w:p>
    <w:p>
      <w:pPr>
        <w:spacing w:after="140"/>
        <w:jc w:val="both"/>
      </w:pPr>
      <w:r>
        <w:rPr>
          <w:rFonts w:ascii="Arial" w:cs="Arial" w:eastAsia="Arial" w:hAnsi="Arial"/>
          <w:color w:val="1a202c"/>
          <w:sz w:val="21"/>
          <w:szCs w:val="21"/>
        </w:rPr>
        <w:t xml:space="preserve">One working validation of a subset of these principles is documented in Annex A. The whitepaper is foundational; the validation is confirmatory.</w:t>
      </w:r>
    </w:p>
    <w:p>
      <w:r>
        <w:br w:type="page"/>
      </w:r>
    </w:p>
    <w:p>
      <w:pPr>
        <w:pStyle w:val="Heading1"/>
        <w:spacing w:after="160" w:before="480"/>
      </w:pPr>
      <w:r>
        <w:rPr>
          <w:rFonts w:ascii="Arial" w:cs="Arial" w:eastAsia="Arial" w:hAnsi="Arial"/>
          <w:b/>
          <w:bCs/>
          <w:color w:val="002b4d"/>
          <w:sz w:val="38"/>
          <w:szCs w:val="38"/>
        </w:rPr>
        <w:t xml:space="preserve">2. The Gaps in Current Architectural Practice</w:t>
      </w:r>
    </w:p>
    <w:p>
      <w:pPr>
        <w:spacing w:after="140"/>
        <w:jc w:val="both"/>
      </w:pPr>
      <w:r>
        <w:rPr>
          <w:rFonts w:ascii="Arial" w:cs="Arial" w:eastAsia="Arial" w:hAnsi="Arial"/>
          <w:color w:val="1a202c"/>
          <w:sz w:val="21"/>
          <w:szCs w:val="21"/>
        </w:rPr>
        <w:t xml:space="preserve">Every architectural framework in current use — TOGAF, Clean Architecture, Hexagonal, Domain-Driven Design, microservices, event-driven, reactive, the Fowler patterns, the Gang of Four design patterns, Spec-Driven Development — was developed in an era that assumed certain things were stable. Some of those assumptions have quietly become false.</w:t>
      </w:r>
    </w:p>
    <w:p>
      <w:pPr>
        <w:spacing w:after="140"/>
        <w:jc w:val="both"/>
      </w:pPr>
      <w:r>
        <w:rPr>
          <w:rFonts w:ascii="Arial" w:cs="Arial" w:eastAsia="Arial" w:hAnsi="Arial"/>
          <w:color w:val="1a202c"/>
          <w:sz w:val="21"/>
          <w:szCs w:val="21"/>
        </w:rPr>
        <w:t xml:space="preserve">This section enumerates thirty-two such assumptions. They are grouped by what they assume is stable. Some are obvious in retrospect. Some have been invisible precisely because they were universally shared. All of them, taken together, explain why long-lived systems fail.</w:t>
      </w:r>
    </w:p>
    <w:p>
      <w:pPr>
        <w:spacing w:after="140"/>
        <w:jc w:val="both"/>
      </w:pPr>
      <w:r>
        <w:rPr>
          <w:rFonts w:ascii="Arial" w:cs="Arial" w:eastAsia="Arial" w:hAnsi="Arial"/>
          <w:color w:val="1a202c"/>
          <w:sz w:val="21"/>
          <w:szCs w:val="21"/>
        </w:rPr>
        <w:t xml:space="preserve">Not every assumption matters equally for every system. A short-lived prototype can ignore most of them. An enterprise system expected to live two decades cannot afford to ignore any. The full list is presented here not as a checklist but as a diagnostic — a way to locate where your current architecture is brittle.</w:t>
      </w:r>
    </w:p>
    <w:p>
      <w:pPr>
        <w:pStyle w:val="Heading2"/>
        <w:spacing w:after="100" w:before="320"/>
      </w:pPr>
      <w:r>
        <w:rPr>
          <w:rFonts w:ascii="Arial" w:cs="Arial" w:eastAsia="Arial" w:hAnsi="Arial"/>
          <w:b/>
          <w:bCs/>
          <w:color w:val="1a202c"/>
          <w:sz w:val="28"/>
          <w:szCs w:val="28"/>
        </w:rPr>
        <w:t xml:space="preserve">2.1 Assumptions about Technology Stability</w:t>
      </w:r>
    </w:p>
    <w:p>
      <w:pPr>
        <w:pStyle w:val="Heading3"/>
        <w:spacing w:after="80" w:before="220"/>
      </w:pPr>
      <w:r>
        <w:rPr>
          <w:rFonts w:ascii="Arial" w:cs="Arial" w:eastAsia="Arial" w:hAnsi="Arial"/>
          <w:b/>
          <w:bCs/>
          <w:color w:val="004271"/>
          <w:sz w:val="23"/>
          <w:szCs w:val="23"/>
        </w:rPr>
        <w:t xml:space="preserve">Gap 1 — Stable programming language</w:t>
      </w:r>
    </w:p>
    <w:p>
      <w:pPr>
        <w:spacing w:after="140"/>
        <w:jc w:val="both"/>
      </w:pPr>
      <w:r>
        <w:rPr>
          <w:rFonts w:ascii="Arial" w:cs="Arial" w:eastAsia="Arial" w:hAnsi="Arial"/>
          <w:color w:val="1a202c"/>
          <w:sz w:val="21"/>
          <w:szCs w:val="21"/>
        </w:rPr>
        <w:t xml:space="preserve">Most architectures are expressed in the syntax and idioms of a specific programming language. Interfaces are Java interfaces, or Python abstract classes, or TypeScript types, or Kotlin contracts. When the language falls out of fashion — or when a system spans multiple languages — the architecture ceases to be portable. Most enterprise codebases today contain at least three active languages and at least two that are deprecated but still in production.</w:t>
      </w:r>
    </w:p>
    <w:p>
      <w:pPr>
        <w:pStyle w:val="Heading3"/>
        <w:spacing w:after="80" w:before="220"/>
      </w:pPr>
      <w:r>
        <w:rPr>
          <w:rFonts w:ascii="Arial" w:cs="Arial" w:eastAsia="Arial" w:hAnsi="Arial"/>
          <w:b/>
          <w:bCs/>
          <w:color w:val="004271"/>
          <w:sz w:val="23"/>
          <w:szCs w:val="23"/>
        </w:rPr>
        <w:t xml:space="preserve">Gap 2 — Stable framework</w:t>
      </w:r>
    </w:p>
    <w:p>
      <w:pPr>
        <w:spacing w:after="140"/>
        <w:jc w:val="both"/>
      </w:pPr>
      <w:r>
        <w:rPr>
          <w:rFonts w:ascii="Arial" w:cs="Arial" w:eastAsia="Arial" w:hAnsi="Arial"/>
          <w:color w:val="1a202c"/>
          <w:sz w:val="21"/>
          <w:szCs w:val="21"/>
        </w:rPr>
        <w:t xml:space="preserve">Frameworks come with architectural assumptions baked in. Spring assumes dependency injection; Rails assumes convention over configuration; React assumes unidirectional data flow. When a system is built on a framework, the framework's assumptions become load-bearing. When the framework is deprecated or superseded, the architecture must be rebuilt, not merely re-implemented.</w:t>
      </w:r>
    </w:p>
    <w:p>
      <w:pPr>
        <w:pStyle w:val="Heading3"/>
        <w:spacing w:after="80" w:before="220"/>
      </w:pPr>
      <w:r>
        <w:rPr>
          <w:rFonts w:ascii="Arial" w:cs="Arial" w:eastAsia="Arial" w:hAnsi="Arial"/>
          <w:b/>
          <w:bCs/>
          <w:color w:val="004271"/>
          <w:sz w:val="23"/>
          <w:szCs w:val="23"/>
        </w:rPr>
        <w:t xml:space="preserve">Gap 3 — Stable runtime environment</w:t>
      </w:r>
    </w:p>
    <w:p>
      <w:pPr>
        <w:spacing w:after="140"/>
        <w:jc w:val="both"/>
      </w:pPr>
      <w:r>
        <w:rPr>
          <w:rFonts w:ascii="Arial" w:cs="Arial" w:eastAsia="Arial" w:hAnsi="Arial"/>
          <w:color w:val="1a202c"/>
          <w:sz w:val="21"/>
          <w:szCs w:val="21"/>
        </w:rPr>
        <w:t xml:space="preserve">The JVM was the stable runtime of the 2000s. Node.js dominated the 2010s. Serverless compute emerged mid-decade. Edge runtimes, WebAssembly modules, and specialised inference servers are reshaping the 2020s. Architectures that assume 'the runtime' is a constant fail the moment workloads have to straddle multiple runtimes.</w:t>
      </w:r>
    </w:p>
    <w:p>
      <w:pPr>
        <w:pStyle w:val="Heading3"/>
        <w:spacing w:after="80" w:before="220"/>
      </w:pPr>
      <w:r>
        <w:rPr>
          <w:rFonts w:ascii="Arial" w:cs="Arial" w:eastAsia="Arial" w:hAnsi="Arial"/>
          <w:b/>
          <w:bCs/>
          <w:color w:val="004271"/>
          <w:sz w:val="23"/>
          <w:szCs w:val="23"/>
        </w:rPr>
        <w:t xml:space="preserve">Gap 4 — Stable database engine</w:t>
      </w:r>
    </w:p>
    <w:p>
      <w:pPr>
        <w:spacing w:after="140"/>
        <w:jc w:val="both"/>
      </w:pPr>
      <w:r>
        <w:rPr>
          <w:rFonts w:ascii="Arial" w:cs="Arial" w:eastAsia="Arial" w:hAnsi="Arial"/>
          <w:color w:val="1a202c"/>
          <w:sz w:val="21"/>
          <w:szCs w:val="21"/>
        </w:rPr>
        <w:t xml:space="preserve">Choosing a database was once a decade-long commitment. Today, systems routinely span relational, document, graph, vector, and time-series stores, and the dominant engine in each category changes every few years. Architectures that hard-wire the database into the domain model — as most Active Record patterns do — cannot survive this change.</w:t>
      </w:r>
    </w:p>
    <w:p>
      <w:pPr>
        <w:pStyle w:val="Heading3"/>
        <w:spacing w:after="80" w:before="220"/>
      </w:pPr>
      <w:r>
        <w:rPr>
          <w:rFonts w:ascii="Arial" w:cs="Arial" w:eastAsia="Arial" w:hAnsi="Arial"/>
          <w:b/>
          <w:bCs/>
          <w:color w:val="004271"/>
          <w:sz w:val="23"/>
          <w:szCs w:val="23"/>
        </w:rPr>
        <w:t xml:space="preserve">Gap 5 — Stable infrastructure provider</w:t>
      </w:r>
    </w:p>
    <w:p>
      <w:pPr>
        <w:spacing w:after="140"/>
        <w:jc w:val="both"/>
      </w:pPr>
      <w:r>
        <w:rPr>
          <w:rFonts w:ascii="Arial" w:cs="Arial" w:eastAsia="Arial" w:hAnsi="Arial"/>
          <w:color w:val="1a202c"/>
          <w:sz w:val="21"/>
          <w:szCs w:val="21"/>
        </w:rPr>
        <w:t xml:space="preserve">AWS, Azure, and GCP are not interchangeable. Moving between them is not a deployment change; it is a migration project. Architectures that implicitly depend on a specific cloud's abstractions — its queue service, its key management, its managed database — become hostage to that cloud. Multi-cloud and hybrid-cloud demands have made this assumption lethal.</w:t>
      </w:r>
    </w:p>
    <w:p>
      <w:pPr>
        <w:pStyle w:val="Heading3"/>
        <w:spacing w:after="80" w:before="220"/>
      </w:pPr>
      <w:r>
        <w:rPr>
          <w:rFonts w:ascii="Arial" w:cs="Arial" w:eastAsia="Arial" w:hAnsi="Arial"/>
          <w:b/>
          <w:bCs/>
          <w:color w:val="004271"/>
          <w:sz w:val="23"/>
          <w:szCs w:val="23"/>
        </w:rPr>
        <w:t xml:space="preserve">Gap 6 — Stable AI model</w:t>
      </w:r>
    </w:p>
    <w:p>
      <w:pPr>
        <w:spacing w:after="140"/>
        <w:jc w:val="both"/>
      </w:pPr>
      <w:r>
        <w:rPr>
          <w:rFonts w:ascii="Arial" w:cs="Arial" w:eastAsia="Arial" w:hAnsi="Arial"/>
          <w:color w:val="1a202c"/>
          <w:sz w:val="21"/>
          <w:szCs w:val="21"/>
        </w:rPr>
        <w:t xml:space="preserve">This is the newest gap, and the most consequential. AI models now change every two to four months. An architecture that assumes the model is part of the system — that prompts targeting Opus 4.5 will work on Opus 4.7, that embeddings from one model are compatible with another, that fine-tuned behaviours persist across model generations — will require continuous rebuilding. Most current AI-augmented architectures have not yet faced this. They will.</w:t>
      </w:r>
    </w:p>
    <w:p>
      <w:pPr>
        <w:pStyle w:val="Heading2"/>
        <w:spacing w:after="100" w:before="320"/>
      </w:pPr>
      <w:r>
        <w:rPr>
          <w:rFonts w:ascii="Arial" w:cs="Arial" w:eastAsia="Arial" w:hAnsi="Arial"/>
          <w:b/>
          <w:bCs/>
          <w:color w:val="1a202c"/>
          <w:sz w:val="28"/>
          <w:szCs w:val="28"/>
        </w:rPr>
        <w:t xml:space="preserve">2.2 Assumptions about Team Stability</w:t>
      </w:r>
    </w:p>
    <w:p>
      <w:pPr>
        <w:pStyle w:val="Heading3"/>
        <w:spacing w:after="80" w:before="220"/>
      </w:pPr>
      <w:r>
        <w:rPr>
          <w:rFonts w:ascii="Arial" w:cs="Arial" w:eastAsia="Arial" w:hAnsi="Arial"/>
          <w:b/>
          <w:bCs/>
          <w:color w:val="004271"/>
          <w:sz w:val="23"/>
          <w:szCs w:val="23"/>
        </w:rPr>
        <w:t xml:space="preserve">Gap 7 — Stable lead architect</w:t>
      </w:r>
    </w:p>
    <w:p>
      <w:pPr>
        <w:spacing w:after="140"/>
        <w:jc w:val="both"/>
      </w:pPr>
      <w:r>
        <w:rPr>
          <w:rFonts w:ascii="Arial" w:cs="Arial" w:eastAsia="Arial" w:hAnsi="Arial"/>
          <w:color w:val="1a202c"/>
          <w:sz w:val="21"/>
          <w:szCs w:val="21"/>
        </w:rPr>
        <w:t xml:space="preserve">Almost every architecture has, somewhere in its history, a single person who holds the 'why' of the major decisions. When that person leaves — retires, moves company, changes roles — the rationale leaves with them. Decisions become rules nobody questions because nobody remembers why they were made. Ten years later, the architecture contains constraints whose original justification is lost, and there is no way to know whether those constraints still apply.</w:t>
      </w:r>
    </w:p>
    <w:p>
      <w:pPr>
        <w:pStyle w:val="Heading3"/>
        <w:spacing w:after="80" w:before="220"/>
      </w:pPr>
      <w:r>
        <w:rPr>
          <w:rFonts w:ascii="Arial" w:cs="Arial" w:eastAsia="Arial" w:hAnsi="Arial"/>
          <w:b/>
          <w:bCs/>
          <w:color w:val="004271"/>
          <w:sz w:val="23"/>
          <w:szCs w:val="23"/>
        </w:rPr>
        <w:t xml:space="preserve">Gap 8 — Stable engineering team</w:t>
      </w:r>
    </w:p>
    <w:p>
      <w:pPr>
        <w:spacing w:after="140"/>
        <w:jc w:val="both"/>
      </w:pPr>
      <w:r>
        <w:rPr>
          <w:rFonts w:ascii="Arial" w:cs="Arial" w:eastAsia="Arial" w:hAnsi="Arial"/>
          <w:color w:val="1a202c"/>
          <w:sz w:val="21"/>
          <w:szCs w:val="21"/>
        </w:rPr>
        <w:t xml:space="preserve">Large enterprise teams experience 15–25% annual turnover. Over a decade, that means the team has effectively been replaced two to three times. Each replacement carries tacit knowledge away and brings different assumptions in. Architectures that depend on shared tacit understanding — 'everyone knows we don't do X here' — lose that understanding on a rolling basis.</w:t>
      </w:r>
    </w:p>
    <w:p>
      <w:pPr>
        <w:pStyle w:val="Heading3"/>
        <w:spacing w:after="80" w:before="220"/>
      </w:pPr>
      <w:r>
        <w:rPr>
          <w:rFonts w:ascii="Arial" w:cs="Arial" w:eastAsia="Arial" w:hAnsi="Arial"/>
          <w:b/>
          <w:bCs/>
          <w:color w:val="004271"/>
          <w:sz w:val="23"/>
          <w:szCs w:val="23"/>
        </w:rPr>
        <w:t xml:space="preserve">Gap 9 — Stable skill mix</w:t>
      </w:r>
    </w:p>
    <w:p>
      <w:pPr>
        <w:spacing w:after="140"/>
        <w:jc w:val="both"/>
      </w:pPr>
      <w:r>
        <w:rPr>
          <w:rFonts w:ascii="Arial" w:cs="Arial" w:eastAsia="Arial" w:hAnsi="Arial"/>
          <w:color w:val="1a202c"/>
          <w:sz w:val="21"/>
          <w:szCs w:val="21"/>
        </w:rPr>
        <w:t xml:space="preserve">An architecture designed when the team was mostly backend Java developers may become inappropriate when the team becomes mostly full-stack TypeScript or AI-assisted polyglots. The skills available shape what is maintainable. An elegant architecture that nobody on the current team can maintain has failed, regardless of its technical merits.</w:t>
      </w:r>
    </w:p>
    <w:p>
      <w:pPr>
        <w:pStyle w:val="Heading3"/>
        <w:spacing w:after="80" w:before="220"/>
      </w:pPr>
      <w:r>
        <w:rPr>
          <w:rFonts w:ascii="Arial" w:cs="Arial" w:eastAsia="Arial" w:hAnsi="Arial"/>
          <w:b/>
          <w:bCs/>
          <w:color w:val="004271"/>
          <w:sz w:val="23"/>
          <w:szCs w:val="23"/>
        </w:rPr>
        <w:t xml:space="preserve">Gap 10 — Stable onboarding pipeline</w:t>
      </w:r>
    </w:p>
    <w:p>
      <w:pPr>
        <w:spacing w:after="140"/>
        <w:jc w:val="both"/>
      </w:pPr>
      <w:r>
        <w:rPr>
          <w:rFonts w:ascii="Arial" w:cs="Arial" w:eastAsia="Arial" w:hAnsi="Arial"/>
          <w:color w:val="1a202c"/>
          <w:sz w:val="21"/>
          <w:szCs w:val="21"/>
        </w:rPr>
        <w:t xml:space="preserve">New engineers joining a project need to come up to speed. Architectures that require six months to understand are fragile — if onboarding takes that long, team churn continuously depletes the pool of competent maintainers. Most enterprise architectures are never explicitly designed to be learnable by newcomers in a bounded time.</w:t>
      </w:r>
    </w:p>
    <w:p>
      <w:pPr>
        <w:pStyle w:val="Heading2"/>
        <w:spacing w:after="100" w:before="320"/>
      </w:pPr>
      <w:r>
        <w:rPr>
          <w:rFonts w:ascii="Arial" w:cs="Arial" w:eastAsia="Arial" w:hAnsi="Arial"/>
          <w:b/>
          <w:bCs/>
          <w:color w:val="1a202c"/>
          <w:sz w:val="28"/>
          <w:szCs w:val="28"/>
        </w:rPr>
        <w:t xml:space="preserve">2.3 Assumptions about Ownership Stability</w:t>
      </w:r>
    </w:p>
    <w:p>
      <w:pPr>
        <w:pStyle w:val="Heading3"/>
        <w:spacing w:after="80" w:before="220"/>
      </w:pPr>
      <w:r>
        <w:rPr>
          <w:rFonts w:ascii="Arial" w:cs="Arial" w:eastAsia="Arial" w:hAnsi="Arial"/>
          <w:b/>
          <w:bCs/>
          <w:color w:val="004271"/>
          <w:sz w:val="23"/>
          <w:szCs w:val="23"/>
        </w:rPr>
        <w:t xml:space="preserve">Gap 11 — Stable corporate entity</w:t>
      </w:r>
    </w:p>
    <w:p>
      <w:pPr>
        <w:spacing w:after="140"/>
        <w:jc w:val="both"/>
      </w:pPr>
      <w:r>
        <w:rPr>
          <w:rFonts w:ascii="Arial" w:cs="Arial" w:eastAsia="Arial" w:hAnsi="Arial"/>
          <w:color w:val="1a202c"/>
          <w:sz w:val="21"/>
          <w:szCs w:val="21"/>
        </w:rPr>
        <w:t xml:space="preserve">The company that commissioned the system may not be the company maintaining it in ten years. Mergers, acquisitions, divestitures, and spin-offs routinely move software assets between corporate entities. Architectures that embed company-specific assumptions — branding, regulatory jurisdiction, internal naming conventions, reporting structures — carry those assumptions into contexts where they no longer apply.</w:t>
      </w:r>
    </w:p>
    <w:p>
      <w:pPr>
        <w:pStyle w:val="Heading3"/>
        <w:spacing w:after="80" w:before="220"/>
      </w:pPr>
      <w:r>
        <w:rPr>
          <w:rFonts w:ascii="Arial" w:cs="Arial" w:eastAsia="Arial" w:hAnsi="Arial"/>
          <w:b/>
          <w:bCs/>
          <w:color w:val="004271"/>
          <w:sz w:val="23"/>
          <w:szCs w:val="23"/>
        </w:rPr>
        <w:t xml:space="preserve">Gap 12 — Stable vendor relationships</w:t>
      </w:r>
    </w:p>
    <w:p>
      <w:pPr>
        <w:spacing w:after="140"/>
        <w:jc w:val="both"/>
      </w:pPr>
      <w:r>
        <w:rPr>
          <w:rFonts w:ascii="Arial" w:cs="Arial" w:eastAsia="Arial" w:hAnsi="Arial"/>
          <w:color w:val="1a202c"/>
          <w:sz w:val="21"/>
          <w:szCs w:val="21"/>
        </w:rPr>
        <w:t xml:space="preserve">Enterprise systems are typically built with multiple vendor dependencies: SaaS tools, infrastructure providers, licensed libraries, consulting partners. Each of these relationships will renegotiate, terminate, or be replaced over the system's lifetime. Architectures that embed vendor-specific assumptions as first-class citizens become hostage to those vendors' continued cooperation.</w:t>
      </w:r>
    </w:p>
    <w:p>
      <w:pPr>
        <w:pStyle w:val="Heading3"/>
        <w:spacing w:after="80" w:before="220"/>
      </w:pPr>
      <w:r>
        <w:rPr>
          <w:rFonts w:ascii="Arial" w:cs="Arial" w:eastAsia="Arial" w:hAnsi="Arial"/>
          <w:b/>
          <w:bCs/>
          <w:color w:val="004271"/>
          <w:sz w:val="23"/>
          <w:szCs w:val="23"/>
        </w:rPr>
        <w:t xml:space="preserve">Gap 13 — Stable geographic jurisdiction</w:t>
      </w:r>
    </w:p>
    <w:p>
      <w:pPr>
        <w:spacing w:after="140"/>
        <w:jc w:val="both"/>
      </w:pPr>
      <w:r>
        <w:rPr>
          <w:rFonts w:ascii="Arial" w:cs="Arial" w:eastAsia="Arial" w:hAnsi="Arial"/>
          <w:color w:val="1a202c"/>
          <w:sz w:val="21"/>
          <w:szCs w:val="21"/>
        </w:rPr>
        <w:t xml:space="preserve">Software that was built to serve one country or region may, over time, need to serve others — or be moved from one jurisdiction to another for regulatory or commercial reasons. GDPR in 2018, data localisation laws in 2020s-era India, sector-specific data residency requirements in banking — all of these have forced architectural migrations that the original designs never anticipated.</w:t>
      </w:r>
    </w:p>
    <w:p>
      <w:pPr>
        <w:pStyle w:val="Heading3"/>
        <w:spacing w:after="80" w:before="220"/>
      </w:pPr>
      <w:r>
        <w:rPr>
          <w:rFonts w:ascii="Arial" w:cs="Arial" w:eastAsia="Arial" w:hAnsi="Arial"/>
          <w:b/>
          <w:bCs/>
          <w:color w:val="004271"/>
          <w:sz w:val="23"/>
          <w:szCs w:val="23"/>
        </w:rPr>
        <w:t xml:space="preserve">Gap 14 — Stable funding model</w:t>
      </w:r>
    </w:p>
    <w:p>
      <w:pPr>
        <w:spacing w:after="140"/>
        <w:jc w:val="both"/>
      </w:pPr>
      <w:r>
        <w:rPr>
          <w:rFonts w:ascii="Arial" w:cs="Arial" w:eastAsia="Arial" w:hAnsi="Arial"/>
          <w:color w:val="1a202c"/>
          <w:sz w:val="21"/>
          <w:szCs w:val="21"/>
        </w:rPr>
        <w:t xml:space="preserve">A system built during a period of abundant capital investment may need to operate during austerity. Architectures that depend on continuous generous funding — constant modernisation cycles, large maintenance teams, premium cloud services — fail when the funding model tightens.</w:t>
      </w:r>
    </w:p>
    <w:p>
      <w:pPr>
        <w:pStyle w:val="Heading3"/>
        <w:spacing w:after="80" w:before="220"/>
      </w:pPr>
      <w:r>
        <w:rPr>
          <w:rFonts w:ascii="Arial" w:cs="Arial" w:eastAsia="Arial" w:hAnsi="Arial"/>
          <w:b/>
          <w:bCs/>
          <w:color w:val="004271"/>
          <w:sz w:val="23"/>
          <w:szCs w:val="23"/>
        </w:rPr>
        <w:t xml:space="preserve">Gap 15 — Stable decision authority</w:t>
      </w:r>
    </w:p>
    <w:p>
      <w:pPr>
        <w:spacing w:after="140"/>
        <w:jc w:val="both"/>
      </w:pPr>
      <w:r>
        <w:rPr>
          <w:rFonts w:ascii="Arial" w:cs="Arial" w:eastAsia="Arial" w:hAnsi="Arial"/>
          <w:color w:val="1a202c"/>
          <w:sz w:val="21"/>
          <w:szCs w:val="21"/>
        </w:rPr>
        <w:t xml:space="preserve">Who gets to change the architecture? In most organisations, this is implicit — everyone knows the lead architect has the final word, until they leave, and then nobody is sure. Formal architectural decision authority is rare. Systems operate for years with de facto authority that cannot be formally transferred when people move on.</w:t>
      </w:r>
    </w:p>
    <w:p>
      <w:pPr>
        <w:pStyle w:val="Heading2"/>
        <w:spacing w:after="100" w:before="320"/>
      </w:pPr>
      <w:r>
        <w:rPr>
          <w:rFonts w:ascii="Arial" w:cs="Arial" w:eastAsia="Arial" w:hAnsi="Arial"/>
          <w:b/>
          <w:bCs/>
          <w:color w:val="1a202c"/>
          <w:sz w:val="28"/>
          <w:szCs w:val="28"/>
        </w:rPr>
        <w:t xml:space="preserve">2.4 Assumptions about Purpose Stability</w:t>
      </w:r>
    </w:p>
    <w:p>
      <w:pPr>
        <w:pStyle w:val="Heading3"/>
        <w:spacing w:after="80" w:before="220"/>
      </w:pPr>
      <w:r>
        <w:rPr>
          <w:rFonts w:ascii="Arial" w:cs="Arial" w:eastAsia="Arial" w:hAnsi="Arial"/>
          <w:b/>
          <w:bCs/>
          <w:color w:val="004271"/>
          <w:sz w:val="23"/>
          <w:szCs w:val="23"/>
        </w:rPr>
        <w:t xml:space="preserve">Gap 16 — Stable user base</w:t>
      </w:r>
    </w:p>
    <w:p>
      <w:pPr>
        <w:spacing w:after="140"/>
        <w:jc w:val="both"/>
      </w:pPr>
      <w:r>
        <w:rPr>
          <w:rFonts w:ascii="Arial" w:cs="Arial" w:eastAsia="Arial" w:hAnsi="Arial"/>
          <w:color w:val="1a202c"/>
          <w:sz w:val="21"/>
          <w:szCs w:val="21"/>
        </w:rPr>
        <w:t xml:space="preserve">Systems built for one user cohort (say, desktop professionals) have to survive the arrival of different cohorts (mobile-first users, API consumers, international users, eventually AI agents consuming the system as a service). Each new cohort brings usage patterns the original architecture did not contemplate.</w:t>
      </w:r>
    </w:p>
    <w:p>
      <w:pPr>
        <w:pStyle w:val="Heading3"/>
        <w:spacing w:after="80" w:before="220"/>
      </w:pPr>
      <w:r>
        <w:rPr>
          <w:rFonts w:ascii="Arial" w:cs="Arial" w:eastAsia="Arial" w:hAnsi="Arial"/>
          <w:b/>
          <w:bCs/>
          <w:color w:val="004271"/>
          <w:sz w:val="23"/>
          <w:szCs w:val="23"/>
        </w:rPr>
        <w:t xml:space="preserve">Gap 17 — Stable business model</w:t>
      </w:r>
    </w:p>
    <w:p>
      <w:pPr>
        <w:spacing w:after="140"/>
        <w:jc w:val="both"/>
      </w:pPr>
      <w:r>
        <w:rPr>
          <w:rFonts w:ascii="Arial" w:cs="Arial" w:eastAsia="Arial" w:hAnsi="Arial"/>
          <w:color w:val="1a202c"/>
          <w:sz w:val="21"/>
          <w:szCs w:val="21"/>
        </w:rPr>
        <w:t xml:space="preserve">An enterprise system built around a one-time licence model must, in many cases, transition to subscription, then to usage-based pricing, then to bundled offerings with other products. Each transition asks the architecture to support data structures, reporting requirements, and integration patterns the original never designed for.</w:t>
      </w:r>
    </w:p>
    <w:p>
      <w:pPr>
        <w:pStyle w:val="Heading3"/>
        <w:spacing w:after="80" w:before="220"/>
      </w:pPr>
      <w:r>
        <w:rPr>
          <w:rFonts w:ascii="Arial" w:cs="Arial" w:eastAsia="Arial" w:hAnsi="Arial"/>
          <w:b/>
          <w:bCs/>
          <w:color w:val="004271"/>
          <w:sz w:val="23"/>
          <w:szCs w:val="23"/>
        </w:rPr>
        <w:t xml:space="preserve">Gap 18 — Stable regulatory regime</w:t>
      </w:r>
    </w:p>
    <w:p>
      <w:pPr>
        <w:spacing w:after="140"/>
        <w:jc w:val="both"/>
      </w:pPr>
      <w:r>
        <w:rPr>
          <w:rFonts w:ascii="Arial" w:cs="Arial" w:eastAsia="Arial" w:hAnsi="Arial"/>
          <w:color w:val="1a202c"/>
          <w:sz w:val="21"/>
          <w:szCs w:val="21"/>
        </w:rPr>
        <w:t xml:space="preserve">GDPR, HIPAA, SOX, PSD2, AI Act — each new regulation reshapes what a system must do. Architectures that embed the current regulatory regime into the domain model — how consent is tracked, how data is retained, how decisions are logged — have to be reshaped whenever the regime changes. This happens more often than most teams plan for.</w:t>
      </w:r>
    </w:p>
    <w:p>
      <w:pPr>
        <w:pStyle w:val="Heading3"/>
        <w:spacing w:after="80" w:before="220"/>
      </w:pPr>
      <w:r>
        <w:rPr>
          <w:rFonts w:ascii="Arial" w:cs="Arial" w:eastAsia="Arial" w:hAnsi="Arial"/>
          <w:b/>
          <w:bCs/>
          <w:color w:val="004271"/>
          <w:sz w:val="23"/>
          <w:szCs w:val="23"/>
        </w:rPr>
        <w:t xml:space="preserve">Gap 19 — Stable integration partners</w:t>
      </w:r>
    </w:p>
    <w:p>
      <w:pPr>
        <w:spacing w:after="140"/>
        <w:jc w:val="both"/>
      </w:pPr>
      <w:r>
        <w:rPr>
          <w:rFonts w:ascii="Arial" w:cs="Arial" w:eastAsia="Arial" w:hAnsi="Arial"/>
          <w:color w:val="1a202c"/>
          <w:sz w:val="21"/>
          <w:szCs w:val="21"/>
        </w:rPr>
        <w:t xml:space="preserve">The system that integrates with three downstream consumers today will, over a decade, integrate with thirty. Some of those consumers are vendors that will be replaced; some are internal systems that will be decommissioned; some don't exist yet. Architectures that treat integration as a fixed set of connections rather than an extensible surface cannot gracefully accommodate this.</w:t>
      </w:r>
    </w:p>
    <w:p>
      <w:pPr>
        <w:pStyle w:val="Heading3"/>
        <w:spacing w:after="80" w:before="220"/>
      </w:pPr>
      <w:r>
        <w:rPr>
          <w:rFonts w:ascii="Arial" w:cs="Arial" w:eastAsia="Arial" w:hAnsi="Arial"/>
          <w:b/>
          <w:bCs/>
          <w:color w:val="004271"/>
          <w:sz w:val="23"/>
          <w:szCs w:val="23"/>
        </w:rPr>
        <w:t xml:space="preserve">Gap 20 — Stable competitive landscape</w:t>
      </w:r>
    </w:p>
    <w:p>
      <w:pPr>
        <w:spacing w:after="140"/>
        <w:jc w:val="both"/>
      </w:pPr>
      <w:r>
        <w:rPr>
          <w:rFonts w:ascii="Arial" w:cs="Arial" w:eastAsia="Arial" w:hAnsi="Arial"/>
          <w:color w:val="1a202c"/>
          <w:sz w:val="21"/>
          <w:szCs w:val="21"/>
        </w:rPr>
        <w:t xml:space="preserve">The market position a system was designed to support may change. A differentiator in 2015 becomes table stakes in 2020 and is commoditised by 2025. Architectures built to optimise for competitive advantages that no longer exist waste resources on assumptions that no longer hold.</w:t>
      </w:r>
    </w:p>
    <w:p>
      <w:pPr>
        <w:pStyle w:val="Heading2"/>
        <w:spacing w:after="100" w:before="320"/>
      </w:pPr>
      <w:r>
        <w:rPr>
          <w:rFonts w:ascii="Arial" w:cs="Arial" w:eastAsia="Arial" w:hAnsi="Arial"/>
          <w:b/>
          <w:bCs/>
          <w:color w:val="1a202c"/>
          <w:sz w:val="28"/>
          <w:szCs w:val="28"/>
        </w:rPr>
        <w:t xml:space="preserve">2.5 Assumptions about Verification Stability</w:t>
      </w:r>
    </w:p>
    <w:p>
      <w:pPr>
        <w:pStyle w:val="Heading3"/>
        <w:spacing w:after="80" w:before="220"/>
      </w:pPr>
      <w:r>
        <w:rPr>
          <w:rFonts w:ascii="Arial" w:cs="Arial" w:eastAsia="Arial" w:hAnsi="Arial"/>
          <w:b/>
          <w:bCs/>
          <w:color w:val="004271"/>
          <w:sz w:val="23"/>
          <w:szCs w:val="23"/>
        </w:rPr>
        <w:t xml:space="preserve">Gap 21 — Stable definition of 'correct'</w:t>
      </w:r>
    </w:p>
    <w:p>
      <w:pPr>
        <w:spacing w:after="140"/>
        <w:jc w:val="both"/>
      </w:pPr>
      <w:r>
        <w:rPr>
          <w:rFonts w:ascii="Arial" w:cs="Arial" w:eastAsia="Arial" w:hAnsi="Arial"/>
          <w:color w:val="1a202c"/>
          <w:sz w:val="21"/>
          <w:szCs w:val="21"/>
        </w:rPr>
        <w:t xml:space="preserve">What the system should do is captured in tests, acceptance criteria, and specifications. But what counts as correct behaviour changes: accessibility standards tighten, ethical requirements emerge, security baselines rise. Tests that passed in 2015 may be insufficient in 2025 not because the code changed but because the standard changed.</w:t>
      </w:r>
    </w:p>
    <w:p>
      <w:pPr>
        <w:pStyle w:val="Heading3"/>
        <w:spacing w:after="80" w:before="220"/>
      </w:pPr>
      <w:r>
        <w:rPr>
          <w:rFonts w:ascii="Arial" w:cs="Arial" w:eastAsia="Arial" w:hAnsi="Arial"/>
          <w:b/>
          <w:bCs/>
          <w:color w:val="004271"/>
          <w:sz w:val="23"/>
          <w:szCs w:val="23"/>
        </w:rPr>
        <w:t xml:space="preserve">Gap 22 — Stable testing methodology</w:t>
      </w:r>
    </w:p>
    <w:p>
      <w:pPr>
        <w:spacing w:after="140"/>
        <w:jc w:val="both"/>
      </w:pPr>
      <w:r>
        <w:rPr>
          <w:rFonts w:ascii="Arial" w:cs="Arial" w:eastAsia="Arial" w:hAnsi="Arial"/>
          <w:color w:val="1a202c"/>
          <w:sz w:val="21"/>
          <w:szCs w:val="21"/>
        </w:rPr>
        <w:t xml:space="preserve">Unit tests and integration tests were the dominant paradigms when most enterprise systems were designed. Property-based testing, contract testing, chaos engineering, AI-based test generation, and formal verification have all emerged since. Architectures that baked in assumptions about which testing tools would be available struggle to adopt newer methods.</w:t>
      </w:r>
    </w:p>
    <w:p>
      <w:pPr>
        <w:pStyle w:val="Heading3"/>
        <w:spacing w:after="80" w:before="220"/>
      </w:pPr>
      <w:r>
        <w:rPr>
          <w:rFonts w:ascii="Arial" w:cs="Arial" w:eastAsia="Arial" w:hAnsi="Arial"/>
          <w:b/>
          <w:bCs/>
          <w:color w:val="004271"/>
          <w:sz w:val="23"/>
          <w:szCs w:val="23"/>
        </w:rPr>
        <w:t xml:space="preserve">Gap 23 — Stable threat model</w:t>
      </w:r>
    </w:p>
    <w:p>
      <w:pPr>
        <w:spacing w:after="140"/>
        <w:jc w:val="both"/>
      </w:pPr>
      <w:r>
        <w:rPr>
          <w:rFonts w:ascii="Arial" w:cs="Arial" w:eastAsia="Arial" w:hAnsi="Arial"/>
          <w:color w:val="1a202c"/>
          <w:sz w:val="21"/>
          <w:szCs w:val="21"/>
        </w:rPr>
        <w:t xml:space="preserve">Security assumptions decay faster than almost anything else in a system. The authentication model of 2010 (passwords plus password reset by email) is not the model of 2020 (multi-factor, passkey, session-bound) and will not be the model of 2030. Architectures that hard-code today's threat model into the core will not survive the shifts.</w:t>
      </w:r>
    </w:p>
    <w:p>
      <w:pPr>
        <w:pStyle w:val="Heading3"/>
        <w:spacing w:after="80" w:before="220"/>
      </w:pPr>
      <w:r>
        <w:rPr>
          <w:rFonts w:ascii="Arial" w:cs="Arial" w:eastAsia="Arial" w:hAnsi="Arial"/>
          <w:b/>
          <w:bCs/>
          <w:color w:val="004271"/>
          <w:sz w:val="23"/>
          <w:szCs w:val="23"/>
        </w:rPr>
        <w:t xml:space="preserve">Gap 24 — Stable quality gates</w:t>
      </w:r>
    </w:p>
    <w:p>
      <w:pPr>
        <w:spacing w:after="140"/>
        <w:jc w:val="both"/>
      </w:pPr>
      <w:r>
        <w:rPr>
          <w:rFonts w:ascii="Arial" w:cs="Arial" w:eastAsia="Arial" w:hAnsi="Arial"/>
          <w:color w:val="1a202c"/>
          <w:sz w:val="21"/>
          <w:szCs w:val="21"/>
        </w:rPr>
        <w:t xml:space="preserve">Code review as a quality gate assumed humans were the authors. When AI becomes a primary author, the gate must evolve — to catch hallucinations, not just logic errors. Most organisations have not yet evolved their gates. Their architecture assumes the old gates still work.</w:t>
      </w:r>
    </w:p>
    <w:p>
      <w:pPr>
        <w:pStyle w:val="Heading2"/>
        <w:spacing w:after="100" w:before="320"/>
      </w:pPr>
      <w:r>
        <w:rPr>
          <w:rFonts w:ascii="Arial" w:cs="Arial" w:eastAsia="Arial" w:hAnsi="Arial"/>
          <w:b/>
          <w:bCs/>
          <w:color w:val="1a202c"/>
          <w:sz w:val="28"/>
          <w:szCs w:val="28"/>
        </w:rPr>
        <w:t xml:space="preserve">2.6 Assumptions about Knowledge Stability</w:t>
      </w:r>
    </w:p>
    <w:p>
      <w:pPr>
        <w:pStyle w:val="Heading3"/>
        <w:spacing w:after="80" w:before="220"/>
      </w:pPr>
      <w:r>
        <w:rPr>
          <w:rFonts w:ascii="Arial" w:cs="Arial" w:eastAsia="Arial" w:hAnsi="Arial"/>
          <w:b/>
          <w:bCs/>
          <w:color w:val="004271"/>
          <w:sz w:val="23"/>
          <w:szCs w:val="23"/>
        </w:rPr>
        <w:t xml:space="preserve">Gap 25 — Stable readers of documentation</w:t>
      </w:r>
    </w:p>
    <w:p>
      <w:pPr>
        <w:spacing w:after="140"/>
        <w:jc w:val="both"/>
      </w:pPr>
      <w:r>
        <w:rPr>
          <w:rFonts w:ascii="Arial" w:cs="Arial" w:eastAsia="Arial" w:hAnsi="Arial"/>
          <w:color w:val="1a202c"/>
          <w:sz w:val="21"/>
          <w:szCs w:val="21"/>
        </w:rPr>
        <w:t xml:space="preserve">Documentation is written for an implicit reader. 'The team will know what this means' was a valid assumption when the team was stable. When the team turns over and AI assistants become primary readers, the implicit reader changes, and the documentation often becomes inadequate for either audience.</w:t>
      </w:r>
    </w:p>
    <w:p>
      <w:pPr>
        <w:pStyle w:val="Heading3"/>
        <w:spacing w:after="80" w:before="220"/>
      </w:pPr>
      <w:r>
        <w:rPr>
          <w:rFonts w:ascii="Arial" w:cs="Arial" w:eastAsia="Arial" w:hAnsi="Arial"/>
          <w:b/>
          <w:bCs/>
          <w:color w:val="004271"/>
          <w:sz w:val="23"/>
          <w:szCs w:val="23"/>
        </w:rPr>
        <w:t xml:space="preserve">Gap 26 — Stable decision log</w:t>
      </w:r>
    </w:p>
    <w:p>
      <w:pPr>
        <w:spacing w:after="140"/>
        <w:jc w:val="both"/>
      </w:pPr>
      <w:r>
        <w:rPr>
          <w:rFonts w:ascii="Arial" w:cs="Arial" w:eastAsia="Arial" w:hAnsi="Arial"/>
          <w:color w:val="1a202c"/>
          <w:sz w:val="21"/>
          <w:szCs w:val="21"/>
        </w:rPr>
        <w:t xml:space="preserve">Most enterprise systems do not have a formal decision log. Decisions live in email threads, Slack conversations, and the memories of the people who made them. When those communication channels migrate or the people leave, the decisions become undocumented. The architecture's rationale becomes irrecoverable.</w:t>
      </w:r>
    </w:p>
    <w:p>
      <w:pPr>
        <w:pStyle w:val="Heading3"/>
        <w:spacing w:after="80" w:before="220"/>
      </w:pPr>
      <w:r>
        <w:rPr>
          <w:rFonts w:ascii="Arial" w:cs="Arial" w:eastAsia="Arial" w:hAnsi="Arial"/>
          <w:b/>
          <w:bCs/>
          <w:color w:val="004271"/>
          <w:sz w:val="23"/>
          <w:szCs w:val="23"/>
        </w:rPr>
        <w:t xml:space="preserve">Gap 27 — Stable cognition</w:t>
      </w:r>
    </w:p>
    <w:p>
      <w:pPr>
        <w:spacing w:after="140"/>
        <w:jc w:val="both"/>
      </w:pPr>
      <w:r>
        <w:rPr>
          <w:rFonts w:ascii="Arial" w:cs="Arial" w:eastAsia="Arial" w:hAnsi="Arial"/>
          <w:color w:val="1a202c"/>
          <w:sz w:val="21"/>
          <w:szCs w:val="21"/>
        </w:rPr>
        <w:t xml:space="preserve">This is the gap AI makes most acute. Every architectural assumption about 'who understands the system' implicitly assumed a human understander. When AI assistants become partial understanders — capable of reading the code but not of remembering it across sessions — a new class of assumption has to be made explicit. Most architectures have not yet made it.</w:t>
      </w:r>
    </w:p>
    <w:p>
      <w:pPr>
        <w:pStyle w:val="Heading3"/>
        <w:spacing w:after="80" w:before="220"/>
      </w:pPr>
      <w:r>
        <w:rPr>
          <w:rFonts w:ascii="Arial" w:cs="Arial" w:eastAsia="Arial" w:hAnsi="Arial"/>
          <w:b/>
          <w:bCs/>
          <w:color w:val="004271"/>
          <w:sz w:val="23"/>
          <w:szCs w:val="23"/>
        </w:rPr>
        <w:t xml:space="preserve">Gap 28 — Stable communication media</w:t>
      </w:r>
    </w:p>
    <w:p>
      <w:pPr>
        <w:spacing w:after="140"/>
        <w:jc w:val="both"/>
      </w:pPr>
      <w:r>
        <w:rPr>
          <w:rFonts w:ascii="Arial" w:cs="Arial" w:eastAsia="Arial" w:hAnsi="Arial"/>
          <w:color w:val="1a202c"/>
          <w:sz w:val="21"/>
          <w:szCs w:val="21"/>
        </w:rPr>
        <w:t xml:space="preserve">Documentation lived in wikis. Wikis migrated to Confluence. Confluence migrated to Notion. Notion will migrate to something else. Decisions captured in one medium are often lost in the transitions. Architectures that rely on the current documentation platform being maintained indefinitely are building on sand.</w:t>
      </w:r>
    </w:p>
    <w:p>
      <w:pPr>
        <w:pStyle w:val="Heading2"/>
        <w:spacing w:after="100" w:before="320"/>
      </w:pPr>
      <w:r>
        <w:rPr>
          <w:rFonts w:ascii="Arial" w:cs="Arial" w:eastAsia="Arial" w:hAnsi="Arial"/>
          <w:b/>
          <w:bCs/>
          <w:color w:val="1a202c"/>
          <w:sz w:val="28"/>
          <w:szCs w:val="28"/>
        </w:rPr>
        <w:t xml:space="preserve">2.7 Assumptions about Evolution Stability</w:t>
      </w:r>
    </w:p>
    <w:p>
      <w:pPr>
        <w:pStyle w:val="Heading3"/>
        <w:spacing w:after="80" w:before="220"/>
      </w:pPr>
      <w:r>
        <w:rPr>
          <w:rFonts w:ascii="Arial" w:cs="Arial" w:eastAsia="Arial" w:hAnsi="Arial"/>
          <w:b/>
          <w:bCs/>
          <w:color w:val="004271"/>
          <w:sz w:val="23"/>
          <w:szCs w:val="23"/>
        </w:rPr>
        <w:t xml:space="preserve">Gap 29 — Stable deprecation mechanism</w:t>
      </w:r>
    </w:p>
    <w:p>
      <w:pPr>
        <w:spacing w:after="140"/>
        <w:jc w:val="both"/>
      </w:pPr>
      <w:r>
        <w:rPr>
          <w:rFonts w:ascii="Arial" w:cs="Arial" w:eastAsia="Arial" w:hAnsi="Arial"/>
          <w:color w:val="1a202c"/>
          <w:sz w:val="21"/>
          <w:szCs w:val="21"/>
        </w:rPr>
        <w:t xml:space="preserve">How does a system retire an obsolete component? Most architectures have no formal answer. Components are marked 'deprecated' in comments, then quietly left in place for years, accumulating compatibility debt. Real deprecation — a formal, time-bound, governed sunset process — is almost never designed in. Without it, systems accumulate obsolete code they cannot safely remove.</w:t>
      </w:r>
    </w:p>
    <w:p>
      <w:pPr>
        <w:pStyle w:val="Heading3"/>
        <w:spacing w:after="80" w:before="220"/>
      </w:pPr>
      <w:r>
        <w:rPr>
          <w:rFonts w:ascii="Arial" w:cs="Arial" w:eastAsia="Arial" w:hAnsi="Arial"/>
          <w:b/>
          <w:bCs/>
          <w:color w:val="004271"/>
          <w:sz w:val="23"/>
          <w:szCs w:val="23"/>
        </w:rPr>
        <w:t xml:space="preserve">Gap 30 — Stable extension mechanism</w:t>
      </w:r>
    </w:p>
    <w:p>
      <w:pPr>
        <w:spacing w:after="140"/>
        <w:jc w:val="both"/>
      </w:pPr>
      <w:r>
        <w:rPr>
          <w:rFonts w:ascii="Arial" w:cs="Arial" w:eastAsia="Arial" w:hAnsi="Arial"/>
          <w:color w:val="1a202c"/>
          <w:sz w:val="21"/>
          <w:szCs w:val="21"/>
        </w:rPr>
        <w:t xml:space="preserve">Conversely, how does a system gracefully grow? Most architectures answer this through informal extension points, plugin interfaces that nobody documented, and side-channel integrations. When the system needs to grow in a direction the original designers did not anticipate, the extension is grafted on awkwardly, creating technical debt from the moment of its addition.</w:t>
      </w:r>
    </w:p>
    <w:p>
      <w:pPr>
        <w:pStyle w:val="Heading3"/>
        <w:spacing w:after="80" w:before="220"/>
      </w:pPr>
      <w:r>
        <w:rPr>
          <w:rFonts w:ascii="Arial" w:cs="Arial" w:eastAsia="Arial" w:hAnsi="Arial"/>
          <w:b/>
          <w:bCs/>
          <w:color w:val="004271"/>
          <w:sz w:val="23"/>
          <w:szCs w:val="23"/>
        </w:rPr>
        <w:t xml:space="preserve">Gap 31 — Stable replacement path</w:t>
      </w:r>
    </w:p>
    <w:p>
      <w:pPr>
        <w:spacing w:after="140"/>
        <w:jc w:val="both"/>
      </w:pPr>
      <w:r>
        <w:rPr>
          <w:rFonts w:ascii="Arial" w:cs="Arial" w:eastAsia="Arial" w:hAnsi="Arial"/>
          <w:color w:val="1a202c"/>
          <w:sz w:val="21"/>
          <w:szCs w:val="21"/>
        </w:rPr>
        <w:t xml:space="preserve">When a component must be replaced — not extended, replaced — what is the path? Enterprise systems routinely face this: the database that must be migrated, the authentication provider that must be swapped, the language runtime that must be upgraded. Most architectures offer no path better than 'rewrite and cut over on a weekend.' The lack of a graceful replacement mechanism is what forces periodic 'big rewrites' that themselves become the next technical debt.</w:t>
      </w:r>
    </w:p>
    <w:p>
      <w:pPr>
        <w:pStyle w:val="Heading3"/>
        <w:spacing w:after="80" w:before="220"/>
      </w:pPr>
      <w:r>
        <w:rPr>
          <w:rFonts w:ascii="Arial" w:cs="Arial" w:eastAsia="Arial" w:hAnsi="Arial"/>
          <w:b/>
          <w:bCs/>
          <w:color w:val="004271"/>
          <w:sz w:val="23"/>
          <w:szCs w:val="23"/>
        </w:rPr>
        <w:t xml:space="preserve">Gap 32 — Stable retirement ceremony</w:t>
      </w:r>
    </w:p>
    <w:p>
      <w:pPr>
        <w:spacing w:after="140"/>
        <w:jc w:val="both"/>
      </w:pPr>
      <w:r>
        <w:rPr>
          <w:rFonts w:ascii="Arial" w:cs="Arial" w:eastAsia="Arial" w:hAnsi="Arial"/>
          <w:color w:val="1a202c"/>
          <w:sz w:val="21"/>
          <w:szCs w:val="21"/>
        </w:rPr>
        <w:t xml:space="preserve">Finally: how do systems end? Most enterprise systems do not have an end-of-life protocol. They are simply switched off when replaced, or allowed to rot in production while nobody dares touch them. Neither is acceptable for long-lived systems that may hold regulatory data, audit trails, or irreplaceable institutional records. A formal retirement ceremony — data preservation, knowledge handover, historical archival — is almost never designed.</w:t>
      </w:r>
    </w:p>
    <w:p>
      <w:pPr>
        <w:pStyle w:val="Heading2"/>
        <w:spacing w:after="100" w:before="320"/>
      </w:pPr>
      <w:r>
        <w:rPr>
          <w:rFonts w:ascii="Arial" w:cs="Arial" w:eastAsia="Arial" w:hAnsi="Arial"/>
          <w:b/>
          <w:bCs/>
          <w:color w:val="1a202c"/>
          <w:sz w:val="28"/>
          <w:szCs w:val="28"/>
        </w:rPr>
        <w:t xml:space="preserve">2.8 Subsets of the Gaps</w:t>
      </w:r>
    </w:p>
    <w:p>
      <w:pPr>
        <w:spacing w:after="140"/>
        <w:jc w:val="both"/>
      </w:pPr>
      <w:r>
        <w:rPr>
          <w:rFonts w:ascii="Arial" w:cs="Arial" w:eastAsia="Arial" w:hAnsi="Arial"/>
          <w:color w:val="1a202c"/>
          <w:sz w:val="21"/>
          <w:szCs w:val="21"/>
        </w:rPr>
        <w:t xml:space="preserve">Not every system faces all thirty-two gaps equally. Three subsets are particularly instructive:</w:t>
      </w:r>
    </w:p>
    <w:p>
      <w:pPr>
        <w:pStyle w:val="Heading3"/>
        <w:spacing w:after="80" w:before="220"/>
      </w:pPr>
      <w:r>
        <w:rPr>
          <w:rFonts w:ascii="Arial" w:cs="Arial" w:eastAsia="Arial" w:hAnsi="Arial"/>
          <w:b/>
          <w:bCs/>
          <w:color w:val="004271"/>
          <w:sz w:val="23"/>
          <w:szCs w:val="23"/>
        </w:rPr>
        <w:t xml:space="preserve">The AI-Era Subset</w:t>
      </w:r>
    </w:p>
    <w:p>
      <w:pPr>
        <w:spacing w:after="140"/>
        <w:jc w:val="both"/>
      </w:pPr>
      <w:r>
        <w:rPr>
          <w:rFonts w:ascii="Arial" w:cs="Arial" w:eastAsia="Arial" w:hAnsi="Arial"/>
          <w:color w:val="1a202c"/>
          <w:sz w:val="21"/>
          <w:szCs w:val="21"/>
        </w:rPr>
        <w:t xml:space="preserve">Gaps that have emerged or become acute specifically because of AI-assisted development:</w:t>
      </w:r>
    </w:p>
    <w:p>
      <w:pPr>
        <w:pStyle w:val="ListParagraph"/>
        <w:numPr>
          <w:ilvl w:val="0"/>
          <w:numId w:val="3"/>
        </w:numPr>
        <w:spacing w:after="70"/>
      </w:pPr>
      <w:r>
        <w:rPr>
          <w:rFonts w:ascii="Arial" w:cs="Arial" w:eastAsia="Arial" w:hAnsi="Arial"/>
          <w:color w:val="1a202c"/>
          <w:sz w:val="21"/>
          <w:szCs w:val="21"/>
        </w:rPr>
        <w:t xml:space="preserve">Gap 6 — Stable AI model</w:t>
      </w:r>
    </w:p>
    <w:p>
      <w:pPr>
        <w:pStyle w:val="ListParagraph"/>
        <w:numPr>
          <w:ilvl w:val="0"/>
          <w:numId w:val="3"/>
        </w:numPr>
        <w:spacing w:after="70"/>
      </w:pPr>
      <w:r>
        <w:rPr>
          <w:rFonts w:ascii="Arial" w:cs="Arial" w:eastAsia="Arial" w:hAnsi="Arial"/>
          <w:color w:val="1a202c"/>
          <w:sz w:val="21"/>
          <w:szCs w:val="21"/>
        </w:rPr>
        <w:t xml:space="preserve">Gap 24 — Stable quality gates</w:t>
      </w:r>
    </w:p>
    <w:p>
      <w:pPr>
        <w:pStyle w:val="ListParagraph"/>
        <w:numPr>
          <w:ilvl w:val="0"/>
          <w:numId w:val="3"/>
        </w:numPr>
        <w:spacing w:after="70"/>
      </w:pPr>
      <w:r>
        <w:rPr>
          <w:rFonts w:ascii="Arial" w:cs="Arial" w:eastAsia="Arial" w:hAnsi="Arial"/>
          <w:color w:val="1a202c"/>
          <w:sz w:val="21"/>
          <w:szCs w:val="21"/>
        </w:rPr>
        <w:t xml:space="preserve">Gap 25 — Stable readers of documentation</w:t>
      </w:r>
    </w:p>
    <w:p>
      <w:pPr>
        <w:pStyle w:val="ListParagraph"/>
        <w:numPr>
          <w:ilvl w:val="0"/>
          <w:numId w:val="3"/>
        </w:numPr>
        <w:spacing w:after="70"/>
      </w:pPr>
      <w:r>
        <w:rPr>
          <w:rFonts w:ascii="Arial" w:cs="Arial" w:eastAsia="Arial" w:hAnsi="Arial"/>
          <w:color w:val="1a202c"/>
          <w:sz w:val="21"/>
          <w:szCs w:val="21"/>
        </w:rPr>
        <w:t xml:space="preserve">Gap 27 — Stable cognition</w:t>
      </w:r>
    </w:p>
    <w:p>
      <w:pPr>
        <w:spacing w:after="140"/>
        <w:jc w:val="both"/>
      </w:pPr>
      <w:r>
        <w:rPr>
          <w:rFonts w:ascii="Arial" w:cs="Arial" w:eastAsia="Arial" w:hAnsi="Arial"/>
          <w:color w:val="1a202c"/>
          <w:sz w:val="21"/>
          <w:szCs w:val="21"/>
        </w:rPr>
        <w:t xml:space="preserve">These four gaps are the reason this whitepaper exists. They were not serious concerns in 2018. They are existential concerns in 2026.</w:t>
      </w:r>
    </w:p>
    <w:p>
      <w:pPr>
        <w:pStyle w:val="Heading3"/>
        <w:spacing w:after="80" w:before="220"/>
      </w:pPr>
      <w:r>
        <w:rPr>
          <w:rFonts w:ascii="Arial" w:cs="Arial" w:eastAsia="Arial" w:hAnsi="Arial"/>
          <w:b/>
          <w:bCs/>
          <w:color w:val="004271"/>
          <w:sz w:val="23"/>
          <w:szCs w:val="23"/>
        </w:rPr>
        <w:t xml:space="preserve">The Longevity Subset</w:t>
      </w:r>
    </w:p>
    <w:p>
      <w:pPr>
        <w:spacing w:after="140"/>
        <w:jc w:val="both"/>
      </w:pPr>
      <w:r>
        <w:rPr>
          <w:rFonts w:ascii="Arial" w:cs="Arial" w:eastAsia="Arial" w:hAnsi="Arial"/>
          <w:color w:val="1a202c"/>
          <w:sz w:val="21"/>
          <w:szCs w:val="21"/>
        </w:rPr>
        <w:t xml:space="preserve">Gaps that matter only for systems with expected lifetimes over ten years:</w:t>
      </w:r>
    </w:p>
    <w:p>
      <w:pPr>
        <w:pStyle w:val="ListParagraph"/>
        <w:numPr>
          <w:ilvl w:val="0"/>
          <w:numId w:val="3"/>
        </w:numPr>
        <w:spacing w:after="70"/>
      </w:pPr>
      <w:r>
        <w:rPr>
          <w:rFonts w:ascii="Arial" w:cs="Arial" w:eastAsia="Arial" w:hAnsi="Arial"/>
          <w:color w:val="1a202c"/>
          <w:sz w:val="21"/>
          <w:szCs w:val="21"/>
        </w:rPr>
        <w:t xml:space="preserve">Gap 7 — Stable lead architect</w:t>
      </w:r>
    </w:p>
    <w:p>
      <w:pPr>
        <w:pStyle w:val="ListParagraph"/>
        <w:numPr>
          <w:ilvl w:val="0"/>
          <w:numId w:val="3"/>
        </w:numPr>
        <w:spacing w:after="70"/>
      </w:pPr>
      <w:r>
        <w:rPr>
          <w:rFonts w:ascii="Arial" w:cs="Arial" w:eastAsia="Arial" w:hAnsi="Arial"/>
          <w:color w:val="1a202c"/>
          <w:sz w:val="21"/>
          <w:szCs w:val="21"/>
        </w:rPr>
        <w:t xml:space="preserve">Gap 11 — Stable corporate entity</w:t>
      </w:r>
    </w:p>
    <w:p>
      <w:pPr>
        <w:pStyle w:val="ListParagraph"/>
        <w:numPr>
          <w:ilvl w:val="0"/>
          <w:numId w:val="3"/>
        </w:numPr>
        <w:spacing w:after="70"/>
      </w:pPr>
      <w:r>
        <w:rPr>
          <w:rFonts w:ascii="Arial" w:cs="Arial" w:eastAsia="Arial" w:hAnsi="Arial"/>
          <w:color w:val="1a202c"/>
          <w:sz w:val="21"/>
          <w:szCs w:val="21"/>
        </w:rPr>
        <w:t xml:space="preserve">Gap 14 — Stable funding model</w:t>
      </w:r>
    </w:p>
    <w:p>
      <w:pPr>
        <w:pStyle w:val="ListParagraph"/>
        <w:numPr>
          <w:ilvl w:val="0"/>
          <w:numId w:val="3"/>
        </w:numPr>
        <w:spacing w:after="70"/>
      </w:pPr>
      <w:r>
        <w:rPr>
          <w:rFonts w:ascii="Arial" w:cs="Arial" w:eastAsia="Arial" w:hAnsi="Arial"/>
          <w:color w:val="1a202c"/>
          <w:sz w:val="21"/>
          <w:szCs w:val="21"/>
        </w:rPr>
        <w:t xml:space="preserve">Gap 18 — Stable regulatory regime</w:t>
      </w:r>
    </w:p>
    <w:p>
      <w:pPr>
        <w:pStyle w:val="ListParagraph"/>
        <w:numPr>
          <w:ilvl w:val="0"/>
          <w:numId w:val="3"/>
        </w:numPr>
        <w:spacing w:after="70"/>
      </w:pPr>
      <w:r>
        <w:rPr>
          <w:rFonts w:ascii="Arial" w:cs="Arial" w:eastAsia="Arial" w:hAnsi="Arial"/>
          <w:color w:val="1a202c"/>
          <w:sz w:val="21"/>
          <w:szCs w:val="21"/>
        </w:rPr>
        <w:t xml:space="preserve">Gap 32 — Stable retirement ceremony</w:t>
      </w:r>
    </w:p>
    <w:p>
      <w:pPr>
        <w:spacing w:after="140"/>
        <w:jc w:val="both"/>
      </w:pPr>
      <w:r>
        <w:rPr>
          <w:rFonts w:ascii="Arial" w:cs="Arial" w:eastAsia="Arial" w:hAnsi="Arial"/>
          <w:color w:val="1a202c"/>
          <w:sz w:val="21"/>
          <w:szCs w:val="21"/>
        </w:rPr>
        <w:t xml:space="preserve">A five-year system can often ignore these. A twenty-year system cannot.</w:t>
      </w:r>
    </w:p>
    <w:p>
      <w:pPr>
        <w:pStyle w:val="Heading3"/>
        <w:spacing w:after="80" w:before="220"/>
      </w:pPr>
      <w:r>
        <w:rPr>
          <w:rFonts w:ascii="Arial" w:cs="Arial" w:eastAsia="Arial" w:hAnsi="Arial"/>
          <w:b/>
          <w:bCs/>
          <w:color w:val="004271"/>
          <w:sz w:val="23"/>
          <w:szCs w:val="23"/>
        </w:rPr>
        <w:t xml:space="preserve">The Multi-Vendor Subset</w:t>
      </w:r>
    </w:p>
    <w:p>
      <w:pPr>
        <w:spacing w:after="140"/>
        <w:jc w:val="both"/>
      </w:pPr>
      <w:r>
        <w:rPr>
          <w:rFonts w:ascii="Arial" w:cs="Arial" w:eastAsia="Arial" w:hAnsi="Arial"/>
          <w:color w:val="1a202c"/>
          <w:sz w:val="21"/>
          <w:szCs w:val="21"/>
        </w:rPr>
        <w:t xml:space="preserve">Gaps that matter specifically when systems cross organisational boundaries:</w:t>
      </w:r>
    </w:p>
    <w:p>
      <w:pPr>
        <w:pStyle w:val="ListParagraph"/>
        <w:numPr>
          <w:ilvl w:val="0"/>
          <w:numId w:val="3"/>
        </w:numPr>
        <w:spacing w:after="70"/>
      </w:pPr>
      <w:r>
        <w:rPr>
          <w:rFonts w:ascii="Arial" w:cs="Arial" w:eastAsia="Arial" w:hAnsi="Arial"/>
          <w:color w:val="1a202c"/>
          <w:sz w:val="21"/>
          <w:szCs w:val="21"/>
        </w:rPr>
        <w:t xml:space="preserve">Gap 12 — Stable vendor relationships</w:t>
      </w:r>
    </w:p>
    <w:p>
      <w:pPr>
        <w:pStyle w:val="ListParagraph"/>
        <w:numPr>
          <w:ilvl w:val="0"/>
          <w:numId w:val="3"/>
        </w:numPr>
        <w:spacing w:after="70"/>
      </w:pPr>
      <w:r>
        <w:rPr>
          <w:rFonts w:ascii="Arial" w:cs="Arial" w:eastAsia="Arial" w:hAnsi="Arial"/>
          <w:color w:val="1a202c"/>
          <w:sz w:val="21"/>
          <w:szCs w:val="21"/>
        </w:rPr>
        <w:t xml:space="preserve">Gap 15 — Stable decision authority</w:t>
      </w:r>
    </w:p>
    <w:p>
      <w:pPr>
        <w:pStyle w:val="ListParagraph"/>
        <w:numPr>
          <w:ilvl w:val="0"/>
          <w:numId w:val="3"/>
        </w:numPr>
        <w:spacing w:after="70"/>
      </w:pPr>
      <w:r>
        <w:rPr>
          <w:rFonts w:ascii="Arial" w:cs="Arial" w:eastAsia="Arial" w:hAnsi="Arial"/>
          <w:color w:val="1a202c"/>
          <w:sz w:val="21"/>
          <w:szCs w:val="21"/>
        </w:rPr>
        <w:t xml:space="preserve">Gap 19 — Stable integration partners</w:t>
      </w:r>
    </w:p>
    <w:p>
      <w:pPr>
        <w:pStyle w:val="ListParagraph"/>
        <w:numPr>
          <w:ilvl w:val="0"/>
          <w:numId w:val="3"/>
        </w:numPr>
        <w:spacing w:after="70"/>
      </w:pPr>
      <w:r>
        <w:rPr>
          <w:rFonts w:ascii="Arial" w:cs="Arial" w:eastAsia="Arial" w:hAnsi="Arial"/>
          <w:color w:val="1a202c"/>
          <w:sz w:val="21"/>
          <w:szCs w:val="21"/>
        </w:rPr>
        <w:t xml:space="preserve">Gap 28 — Stable communication media</w:t>
      </w:r>
    </w:p>
    <w:p>
      <w:pPr>
        <w:spacing w:after="140"/>
        <w:jc w:val="both"/>
      </w:pPr>
      <w:r>
        <w:rPr>
          <w:rFonts w:ascii="Arial" w:cs="Arial" w:eastAsia="Arial" w:hAnsi="Arial"/>
          <w:color w:val="1a202c"/>
          <w:sz w:val="21"/>
          <w:szCs w:val="21"/>
        </w:rPr>
        <w:t xml:space="preserve">Systems built and operated entirely within one organisation can finesse these. Systems built by consortia, outsourced to partners, or integrated with ecosystems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0"/>
              <w:bottom w:val="single" w:color="b45309" w:sz="10"/>
              <w:right w:val="single" w:color="b45309" w:sz="10"/>
            </w:tcBorders>
            <w:shd w:fill="fef3c7" w:val="clear"/>
            <w:tcMar>
              <w:top w:type="dxa" w:w="180"/>
              <w:left w:type="dxa" w:w="220"/>
              <w:bottom w:type="dxa" w:w="180"/>
              <w:right w:type="dxa" w:w="220"/>
            </w:tcMar>
          </w:tcPr>
          <w:p>
            <w:pPr>
              <w:spacing w:after="100"/>
            </w:pPr>
            <w:r>
              <w:rPr>
                <w:rFonts w:ascii="Arial" w:cs="Arial" w:eastAsia="Arial" w:hAnsi="Arial"/>
                <w:b/>
                <w:bCs/>
                <w:color w:val="b45309"/>
                <w:sz w:val="23"/>
                <w:szCs w:val="23"/>
              </w:rPr>
              <w:t xml:space="preserve">How to use this section</w:t>
            </w:r>
          </w:p>
          <w:p>
            <w:pPr>
              <w:spacing w:after="70"/>
            </w:pPr>
            <w:r>
              <w:rPr>
                <w:rFonts w:ascii="Arial" w:cs="Arial" w:eastAsia="Arial" w:hAnsi="Arial"/>
                <w:color w:val="1a202c"/>
                <w:sz w:val="21"/>
                <w:szCs w:val="21"/>
              </w:rPr>
              <w:t xml:space="preserve">Do not treat these thirty-two gaps as a compliance checklist. Treat them as a diagnostic vocabulary.</w:t>
            </w:r>
          </w:p>
          <w:p>
            <w:pPr>
              <w:spacing w:after="70"/>
            </w:pPr>
            <w:r>
              <w:rPr>
                <w:rFonts w:ascii="Arial" w:cs="Arial" w:eastAsia="Arial" w:hAnsi="Arial"/>
                <w:color w:val="1a202c"/>
                <w:sz w:val="21"/>
                <w:szCs w:val="21"/>
              </w:rPr>
              <w:t xml:space="preserve">For your current system or a system you are designing, walk through the gaps and ask: which of these assumptions does my architecture currently make, implicitly or explicitly? Where I make them, is the assumption still valid? If it ceases to be valid, what breaks?</w:t>
            </w:r>
          </w:p>
          <w:p>
            <w:pPr>
              <w:spacing w:after="70"/>
            </w:pPr>
            <w:r>
              <w:rPr>
                <w:rFonts w:ascii="Arial" w:cs="Arial" w:eastAsia="Arial" w:hAnsi="Arial"/>
                <w:color w:val="1a202c"/>
                <w:sz w:val="21"/>
                <w:szCs w:val="21"/>
              </w:rPr>
              <w:t xml:space="preserve">The answers locate the fragility in your architecture. Sealed Enterprise Architecture, defined in Part II and III, is a framework for addressing the subset of gaps that matter most for long-lived, AI-augmented systems.</w:t>
            </w:r>
          </w:p>
        </w:tc>
      </w:tr>
    </w:tbl>
    <w:p>
      <w:r>
        <w:br w:type="page"/>
      </w:r>
    </w:p>
    <w:p>
      <w:pPr>
        <w:pStyle w:val="Heading1"/>
        <w:spacing w:after="160" w:before="480"/>
      </w:pPr>
      <w:r>
        <w:rPr>
          <w:rFonts w:ascii="Arial" w:cs="Arial" w:eastAsia="Arial" w:hAnsi="Arial"/>
          <w:b/>
          <w:bCs/>
          <w:color w:val="002b4d"/>
          <w:sz w:val="38"/>
          <w:szCs w:val="38"/>
        </w:rPr>
        <w:t xml:space="preserve">3. Why AI Makes These Gaps Lethal</w:t>
      </w:r>
    </w:p>
    <w:p>
      <w:pPr>
        <w:spacing w:after="140"/>
        <w:jc w:val="both"/>
      </w:pPr>
      <w:r>
        <w:rPr>
          <w:rFonts w:ascii="Arial" w:cs="Arial" w:eastAsia="Arial" w:hAnsi="Arial"/>
          <w:color w:val="1a202c"/>
          <w:sz w:val="21"/>
          <w:szCs w:val="21"/>
        </w:rPr>
        <w:t xml:space="preserve">The thirty-two gaps in Section 2 existed before artificial intelligence became a primary force in software development. Most of them are decades old. So the natural question is: if they have always existed and systems have mostly survived, why treat them as urgent now?</w:t>
      </w:r>
    </w:p>
    <w:p>
      <w:pPr>
        <w:spacing w:after="140"/>
        <w:jc w:val="both"/>
      </w:pPr>
      <w:r>
        <w:rPr>
          <w:rFonts w:ascii="Arial" w:cs="Arial" w:eastAsia="Arial" w:hAnsi="Arial"/>
          <w:color w:val="1a202c"/>
          <w:sz w:val="21"/>
          <w:szCs w:val="21"/>
        </w:rPr>
        <w:t xml:space="preserve">The answer is velocity. AI-assisted development has not created most of these gaps. It has dramatically shortened the time between when a gap is created and when it becomes catastrophic.</w:t>
      </w:r>
    </w:p>
    <w:p>
      <w:pPr>
        <w:pStyle w:val="Heading2"/>
        <w:spacing w:after="100" w:before="320"/>
      </w:pPr>
      <w:r>
        <w:rPr>
          <w:rFonts w:ascii="Arial" w:cs="Arial" w:eastAsia="Arial" w:hAnsi="Arial"/>
          <w:b/>
          <w:bCs/>
          <w:color w:val="1a202c"/>
          <w:sz w:val="28"/>
          <w:szCs w:val="28"/>
        </w:rPr>
        <w:t xml:space="preserve">3.1 The Pre-AI Buffer</w:t>
      </w:r>
    </w:p>
    <w:p>
      <w:pPr>
        <w:spacing w:after="140"/>
        <w:jc w:val="both"/>
      </w:pPr>
      <w:r>
        <w:rPr>
          <w:rFonts w:ascii="Arial" w:cs="Arial" w:eastAsia="Arial" w:hAnsi="Arial"/>
          <w:color w:val="1a202c"/>
          <w:sz w:val="21"/>
          <w:szCs w:val="21"/>
        </w:rPr>
        <w:t xml:space="preserve">Before AI-assisted development, organisations had a series of natural buffers that masked many of the gaps. A lead architect might leave, but their replacement had months to learn the system before needing to make major decisions. A framework might deprecate, but adoption of alternatives took years. A new regulation might arrive, but compliance teams had time to translate it into architectural requirements. The system's rate of change was slow enough that human institutional memory could keep up.</w:t>
      </w:r>
    </w:p>
    <w:p>
      <w:pPr>
        <w:spacing w:after="140"/>
        <w:jc w:val="both"/>
      </w:pPr>
      <w:r>
        <w:rPr>
          <w:rFonts w:ascii="Arial" w:cs="Arial" w:eastAsia="Arial" w:hAnsi="Arial"/>
          <w:color w:val="1a202c"/>
          <w:sz w:val="21"/>
          <w:szCs w:val="21"/>
        </w:rPr>
        <w:t xml:space="preserve">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Buffer</w:t>
            </w:r>
          </w:p>
        </w:tc>
        <w:tc>
          <w:tcPr>
            <w:tcW w:type="dxa" w:w="3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How it worked</w:t>
            </w:r>
          </w:p>
        </w:tc>
        <w:tc>
          <w:tcPr>
            <w:tcW w:type="dxa" w:w="3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Why AI removes it</w:t>
            </w:r>
          </w:p>
        </w:tc>
      </w:tr>
      <w:tr>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Institutional memory</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Long-tenured engineers retained 'why' decisions across years</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Rapid AI-assisted churn brings in new code faster than memory of old decisions persists</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Onboarding time</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New engineers had 3-6 months to learn before being productive</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AI assistants make new engineers productive in days, but they are productive at producing code, not understanding it</w:t>
            </w:r>
          </w:p>
        </w:tc>
      </w:tr>
      <w:tr>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Review bottleneck</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Code review was the human bandwidth constraint that forced comprehension</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AI-assisted reviewers can clear PRs faster than humans can reflect on them</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Documentation lag</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Writing happened after building; the lag was tolerable because change was slow</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When code changes weekly, docs written last month are already stale</w:t>
            </w:r>
          </w:p>
        </w:tc>
      </w:tr>
      <w:tr>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Language/framework inertia</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Migrating between stacks took years, providing time to adapt</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AI can port between stacks in weeks, outpacing architectural consideration</w:t>
            </w:r>
          </w:p>
        </w:tc>
      </w:tr>
    </w:tbl>
    <w:p>
      <w:pPr>
        <w:pStyle w:val="Heading2"/>
        <w:spacing w:after="100" w:before="320"/>
      </w:pPr>
      <w:r>
        <w:rPr>
          <w:rFonts w:ascii="Arial" w:cs="Arial" w:eastAsia="Arial" w:hAnsi="Arial"/>
          <w:b/>
          <w:bCs/>
          <w:color w:val="1a202c"/>
          <w:sz w:val="28"/>
          <w:szCs w:val="28"/>
        </w:rPr>
        <w:t xml:space="preserve">3.2 The AI-Era Reality</w:t>
      </w:r>
    </w:p>
    <w:p>
      <w:pPr>
        <w:spacing w:after="140"/>
        <w:jc w:val="both"/>
      </w:pPr>
      <w:r>
        <w:rPr>
          <w:rFonts w:ascii="Arial" w:cs="Arial" w:eastAsia="Arial" w:hAnsi="Arial"/>
          <w:color w:val="1a202c"/>
          <w:sz w:val="21"/>
          <w:szCs w:val="21"/>
        </w:rPr>
        <w:t xml:space="preserve">AI-assisted development removes all five buffers simultaneously. The rate of change increases. The rate of understanding does not. The gap between what is built and what is understood opens, and every one of the thirty-two architectural gaps suddenly matters because there is no longer time for humans to paper over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AI did not create these gaps. It removed the buffers that made them survivable.</w:t>
            </w:r>
          </w:p>
        </w:tc>
      </w:tr>
    </w:tbl>
    <w:p>
      <w:pPr>
        <w:spacing w:after="140"/>
        <w:jc w:val="both"/>
      </w:pPr>
      <w:r>
        <w:rPr>
          <w:rFonts w:ascii="Arial" w:cs="Arial" w:eastAsia="Arial" w:hAnsi="Arial"/>
          <w:color w:val="1a202c"/>
          <w:sz w:val="21"/>
          <w:szCs w:val="21"/>
        </w:rPr>
        <w:t xml:space="preserve">A concrete example makes this vivid. Gap 27 — stable cognition — was largely theoretical before 2023. It was true that no individual engineer held a 30-million-line enterprise codebase in their head, but it was also true that the codebase changed slowly enough that distributed human understanding — the collective memory of the team — was approximately sufficient. Critical decisions happened infrequently enough to be discussed, recorded, reviewed.</w:t>
      </w:r>
    </w:p>
    <w:p>
      <w:pPr>
        <w:spacing w:after="140"/>
        <w:jc w:val="both"/>
      </w:pPr>
      <w:r>
        <w:rPr>
          <w:rFonts w:ascii="Arial" w:cs="Arial" w:eastAsia="Arial" w:hAnsi="Arial"/>
          <w:color w:val="1a202c"/>
          <w:sz w:val="21"/>
          <w:szCs w:val="21"/>
        </w:rPr>
        <w:t xml:space="preserve">After AI-assisted development became widespread, the same enterprise codebase might receive twenty times as many changes per month, authored in part by multiple AI models with different behavioural profiles, across files no single human has read end-to-end. The collective human memory simply cannot keep up. The gap that was theoretical is now operational, and systems built on the assumption of stable cognition are silently accumulating drift every week.</w:t>
      </w:r>
    </w:p>
    <w:p>
      <w:pPr>
        <w:pStyle w:val="Heading2"/>
        <w:spacing w:after="100" w:before="320"/>
      </w:pPr>
      <w:r>
        <w:rPr>
          <w:rFonts w:ascii="Arial" w:cs="Arial" w:eastAsia="Arial" w:hAnsi="Arial"/>
          <w:b/>
          <w:bCs/>
          <w:color w:val="1a202c"/>
          <w:sz w:val="28"/>
          <w:szCs w:val="28"/>
        </w:rPr>
        <w:t xml:space="preserve">3.3 Four Amplification Mechanisms</w:t>
      </w:r>
    </w:p>
    <w:p>
      <w:pPr>
        <w:spacing w:after="140"/>
        <w:jc w:val="both"/>
      </w:pPr>
      <w:r>
        <w:rPr>
          <w:rFonts w:ascii="Arial" w:cs="Arial" w:eastAsia="Arial" w:hAnsi="Arial"/>
          <w:color w:val="1a202c"/>
          <w:sz w:val="21"/>
          <w:szCs w:val="21"/>
        </w:rPr>
        <w:t xml:space="preserve">AI-assisted development amplifies architectural fragility through four specific mechanisms:</w:t>
      </w:r>
    </w:p>
    <w:p>
      <w:pPr>
        <w:pStyle w:val="Heading3"/>
        <w:spacing w:after="80" w:before="220"/>
      </w:pPr>
      <w:r>
        <w:rPr>
          <w:rFonts w:ascii="Arial" w:cs="Arial" w:eastAsia="Arial" w:hAnsi="Arial"/>
          <w:b/>
          <w:bCs/>
          <w:color w:val="004271"/>
          <w:sz w:val="23"/>
          <w:szCs w:val="23"/>
        </w:rPr>
        <w:t xml:space="preserve">Mechanism 1 — Velocity Amplification</w:t>
      </w:r>
    </w:p>
    <w:p>
      <w:pPr>
        <w:spacing w:after="140"/>
        <w:jc w:val="both"/>
      </w:pPr>
      <w:r>
        <w:rPr>
          <w:rFonts w:ascii="Arial" w:cs="Arial" w:eastAsia="Arial" w:hAnsi="Arial"/>
          <w:color w:val="1a202c"/>
          <w:sz w:val="21"/>
          <w:szCs w:val="21"/>
        </w:rPr>
        <w:t xml:space="preserve">Code is produced faster than governance can review it. When a sealed contract takes a week to extend properly but AI can produce three candidate implementations in an hour, the temptation is to bypass governance. This is not a failure of AI; it is a failure of architectural governance to scale with tooling velocity.</w:t>
      </w:r>
    </w:p>
    <w:p>
      <w:pPr>
        <w:pStyle w:val="Heading3"/>
        <w:spacing w:after="80" w:before="220"/>
      </w:pPr>
      <w:r>
        <w:rPr>
          <w:rFonts w:ascii="Arial" w:cs="Arial" w:eastAsia="Arial" w:hAnsi="Arial"/>
          <w:b/>
          <w:bCs/>
          <w:color w:val="004271"/>
          <w:sz w:val="23"/>
          <w:szCs w:val="23"/>
        </w:rPr>
        <w:t xml:space="preserve">Mechanism 2 — Attribution Decay</w:t>
      </w:r>
    </w:p>
    <w:p>
      <w:pPr>
        <w:spacing w:after="140"/>
        <w:jc w:val="both"/>
      </w:pPr>
      <w:r>
        <w:rPr>
          <w:rFonts w:ascii="Arial" w:cs="Arial" w:eastAsia="Arial" w:hAnsi="Arial"/>
          <w:color w:val="1a202c"/>
          <w:sz w:val="21"/>
          <w:szCs w:val="21"/>
        </w:rPr>
        <w:t xml:space="preserve">When humans wrote all the code, git blame told you who to ask. When AI wrote parts of it, the attribution points to a human who pressed 'accept' on output they may not fully understand. The chain of responsibility dissolves. Over a decade, this compounds: nobody knows why any particular piece of code exists, and no record of the reasoning remains.</w:t>
      </w:r>
    </w:p>
    <w:p>
      <w:pPr>
        <w:pStyle w:val="Heading3"/>
        <w:spacing w:after="80" w:before="220"/>
      </w:pPr>
      <w:r>
        <w:rPr>
          <w:rFonts w:ascii="Arial" w:cs="Arial" w:eastAsia="Arial" w:hAnsi="Arial"/>
          <w:b/>
          <w:bCs/>
          <w:color w:val="004271"/>
          <w:sz w:val="23"/>
          <w:szCs w:val="23"/>
        </w:rPr>
        <w:t xml:space="preserve">Mechanism 3 — Plausibility Substituting for Correctness</w:t>
      </w:r>
    </w:p>
    <w:p>
      <w:pPr>
        <w:spacing w:after="140"/>
        <w:jc w:val="both"/>
      </w:pPr>
      <w:r>
        <w:rPr>
          <w:rFonts w:ascii="Arial" w:cs="Arial" w:eastAsia="Arial" w:hAnsi="Arial"/>
          <w:color w:val="1a202c"/>
          <w:sz w:val="21"/>
          <w:szCs w:val="21"/>
        </w:rPr>
        <w:t xml:space="preserve">AI output is plausible by construction — it is trained to look right. The gap between plausible and correct is narrow when humans review carefully and wide when humans review quickly. Velocity pressure widens the gap. Architectures that relied on 'the team will catch bad ideas in review' no longer have that guarantee.</w:t>
      </w:r>
    </w:p>
    <w:p>
      <w:pPr>
        <w:pStyle w:val="Heading3"/>
        <w:spacing w:after="80" w:before="220"/>
      </w:pPr>
      <w:r>
        <w:rPr>
          <w:rFonts w:ascii="Arial" w:cs="Arial" w:eastAsia="Arial" w:hAnsi="Arial"/>
          <w:b/>
          <w:bCs/>
          <w:color w:val="004271"/>
          <w:sz w:val="23"/>
          <w:szCs w:val="23"/>
        </w:rPr>
        <w:t xml:space="preserve">Mechanism 4 — Model Drift</w:t>
      </w:r>
    </w:p>
    <w:p>
      <w:pPr>
        <w:spacing w:after="140"/>
        <w:jc w:val="both"/>
      </w:pPr>
      <w:r>
        <w:rPr>
          <w:rFonts w:ascii="Arial" w:cs="Arial" w:eastAsia="Arial" w:hAnsi="Arial"/>
          <w:color w:val="1a202c"/>
          <w:sz w:val="21"/>
          <w:szCs w:val="21"/>
        </w:rPr>
        <w:t xml:space="preserve">Unlike human engineers, AI models are replaced on a 2-4 month cycle. The model that wrote one module is not the model that will modify it next. Each model brings different default patterns, different blind spots, different strengths. Code that looked consistent last year may look inconsistent next year, not because anyone changed it but because the models that touched it have themselves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0"/>
              <w:bottom w:val="single" w:color="991b1b" w:sz="10"/>
              <w:right w:val="single" w:color="991b1b" w:sz="10"/>
            </w:tcBorders>
            <w:shd w:fill="fee2e2" w:val="clear"/>
            <w:tcMar>
              <w:top w:type="dxa" w:w="180"/>
              <w:left w:type="dxa" w:w="220"/>
              <w:bottom w:type="dxa" w:w="180"/>
              <w:right w:type="dxa" w:w="220"/>
            </w:tcMar>
          </w:tcPr>
          <w:p>
            <w:pPr>
              <w:spacing w:after="100"/>
            </w:pPr>
            <w:r>
              <w:rPr>
                <w:rFonts w:ascii="Arial" w:cs="Arial" w:eastAsia="Arial" w:hAnsi="Arial"/>
                <w:b/>
                <w:bCs/>
                <w:color w:val="991b1b"/>
                <w:sz w:val="23"/>
                <w:szCs w:val="23"/>
              </w:rPr>
              <w:t xml:space="preserve">The key observation</w:t>
            </w:r>
          </w:p>
          <w:p>
            <w:pPr>
              <w:spacing w:after="70"/>
            </w:pPr>
            <w:r>
              <w:rPr>
                <w:rFonts w:ascii="Arial" w:cs="Arial" w:eastAsia="Arial" w:hAnsi="Arial"/>
                <w:color w:val="1a202c"/>
                <w:sz w:val="21"/>
                <w:szCs w:val="21"/>
              </w:rPr>
              <w:t xml:space="preserve">AI is not the cause of architectural fragility. It is the accelerant that turns slow-burning fragility into fast-collapsing failure.</w:t>
            </w:r>
          </w:p>
          <w:p>
            <w:pPr>
              <w:spacing w:after="70"/>
            </w:pPr>
            <w:r>
              <w:rPr>
                <w:rFonts w:ascii="Arial" w:cs="Arial" w:eastAsia="Arial" w:hAnsi="Arial"/>
                <w:color w:val="1a202c"/>
                <w:sz w:val="21"/>
                <w:szCs w:val="21"/>
              </w:rPr>
              <w:t xml:space="preserve">The architectures that survive the next decade will be the ones that treat velocity as a design constraint — building in the governance, verification, and succession mechanisms that AI-amplified change requires.</w:t>
            </w:r>
          </w:p>
          <w:p>
            <w:pPr>
              <w:spacing w:after="70"/>
            </w:pPr>
            <w:r>
              <w:rPr>
                <w:rFonts w:ascii="Arial" w:cs="Arial" w:eastAsia="Arial" w:hAnsi="Arial"/>
                <w:color w:val="1a202c"/>
                <w:sz w:val="21"/>
                <w:szCs w:val="21"/>
              </w:rPr>
              <w:t xml:space="preserve">The architectures that do not will still function for a while. Their failure will be gradual, then sudden.</w:t>
            </w:r>
          </w:p>
        </w:tc>
      </w:tr>
    </w:tbl>
    <w:p>
      <w:r>
        <w:br w:type="page"/>
      </w:r>
    </w:p>
    <w:p>
      <w:pPr>
        <w:pStyle w:val="Heading1"/>
        <w:spacing w:after="160" w:before="480"/>
      </w:pPr>
      <w:r>
        <w:rPr>
          <w:rFonts w:ascii="Arial" w:cs="Arial" w:eastAsia="Arial" w:hAnsi="Arial"/>
          <w:b/>
          <w:bCs/>
          <w:color w:val="002b4d"/>
          <w:sz w:val="38"/>
          <w:szCs w:val="38"/>
        </w:rPr>
        <w:t xml:space="preserve">4. The Failure Mode Catalogue</w:t>
      </w:r>
    </w:p>
    <w:p>
      <w:pPr>
        <w:spacing w:after="140"/>
        <w:jc w:val="both"/>
      </w:pPr>
      <w:r>
        <w:rPr>
          <w:rFonts w:ascii="Arial" w:cs="Arial" w:eastAsia="Arial" w:hAnsi="Arial"/>
          <w:color w:val="1a202c"/>
          <w:sz w:val="21"/>
          <w:szCs w:val="21"/>
        </w:rPr>
        <w:t xml:space="preserve">When the thirty-two gaps in Section 2 go unaddressed, systems do not simply become 'worse.' They fail in specific, recognisable ways. This section names fourteen failure modes — patterns that recur across industries, stacks, and organisational structures, and that every experienced enterprise architect will recognise.</w:t>
      </w:r>
    </w:p>
    <w:p>
      <w:pPr>
        <w:spacing w:after="140"/>
        <w:jc w:val="both"/>
      </w:pPr>
      <w:r>
        <w:rPr>
          <w:rFonts w:ascii="Arial" w:cs="Arial" w:eastAsia="Arial" w:hAnsi="Arial"/>
          <w:color w:val="1a202c"/>
          <w:sz w:val="21"/>
          <w:szCs w:val="21"/>
        </w:rPr>
        <w:t xml:space="preserve">Naming these failure modes matters because architectural failures are harder to address while they remain unnamed. An organisation can recognise 'this system has become impossible to maintain' without being able to say what specifically is wrong. Named failure modes give language for the conversation. They also create the possibility of early detection: if a system begins showing the early signs of a named failure, intervention can happen before the collapse.</w:t>
      </w:r>
    </w:p>
    <w:p>
      <w:pPr>
        <w:pStyle w:val="Heading2"/>
        <w:spacing w:after="100" w:before="320"/>
      </w:pPr>
      <w:r>
        <w:rPr>
          <w:rFonts w:ascii="Arial" w:cs="Arial" w:eastAsia="Arial" w:hAnsi="Arial"/>
          <w:b/>
          <w:bCs/>
          <w:color w:val="1a202c"/>
          <w:sz w:val="28"/>
          <w:szCs w:val="28"/>
        </w:rPr>
        <w:t xml:space="preserve">4.1 Ossification</w:t>
      </w:r>
    </w:p>
    <w:p>
      <w:pPr>
        <w:spacing w:after="140"/>
        <w:jc w:val="both"/>
      </w:pPr>
      <w:r>
        <w:rPr>
          <w:rFonts w:ascii="Arial" w:cs="Arial" w:eastAsia="Arial" w:hAnsi="Arial"/>
          <w:color w:val="1a202c"/>
          <w:sz w:val="21"/>
          <w:szCs w:val="21"/>
        </w:rPr>
        <w:t xml:space="preserve">The system becomes too rigid to change safely. Every proposed modification requires consultation with so many stakeholders, verification against so many constraints, and testing against so many edge cases that change velocity drops to near zero. The system still works — for now — but it has lost the ability to adapt. New features are deferred indefinitely. Competitors with more agile architectures outpace it.</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lead time from proposed change to production increases quarter over quarter, with no explanation other than 'the system has become complex.'</w:t>
      </w:r>
    </w:p>
    <w:p>
      <w:pPr>
        <w:pStyle w:val="Heading2"/>
        <w:spacing w:after="100" w:before="320"/>
      </w:pPr>
      <w:r>
        <w:rPr>
          <w:rFonts w:ascii="Arial" w:cs="Arial" w:eastAsia="Arial" w:hAnsi="Arial"/>
          <w:b/>
          <w:bCs/>
          <w:color w:val="1a202c"/>
          <w:sz w:val="28"/>
          <w:szCs w:val="28"/>
        </w:rPr>
        <w:t xml:space="preserve">4.2 Dissolution</w:t>
      </w:r>
    </w:p>
    <w:p>
      <w:pPr>
        <w:spacing w:after="140"/>
        <w:jc w:val="both"/>
      </w:pPr>
      <w:r>
        <w:rPr>
          <w:rFonts w:ascii="Arial" w:cs="Arial" w:eastAsia="Arial" w:hAnsi="Arial"/>
          <w:color w:val="1a202c"/>
          <w:sz w:val="21"/>
          <w:szCs w:val="21"/>
        </w:rPr>
        <w:t xml:space="preserve">The opposite failure. The system has been modified so many times, by so many different hands, that it no longer has a coherent identity. Patterns from five different architectural styles coexist uneasily. Naming conventions contradict each other. Two different ways of doing the same thing persist because neither can be safely removed. New engineers cannot form a mental model of the system because there is no single model to form.</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new engineers consistently ask 'why does it work this way?' and experienced engineers answer 'historical reasons.'</w:t>
      </w:r>
    </w:p>
    <w:p>
      <w:pPr>
        <w:pStyle w:val="Heading2"/>
        <w:spacing w:after="100" w:before="320"/>
      </w:pPr>
      <w:r>
        <w:rPr>
          <w:rFonts w:ascii="Arial" w:cs="Arial" w:eastAsia="Arial" w:hAnsi="Arial"/>
          <w:b/>
          <w:bCs/>
          <w:color w:val="1a202c"/>
          <w:sz w:val="28"/>
          <w:szCs w:val="28"/>
        </w:rPr>
        <w:t xml:space="preserve">4.3 Ghost Ownership</w:t>
      </w:r>
    </w:p>
    <w:p>
      <w:pPr>
        <w:spacing w:after="140"/>
        <w:jc w:val="both"/>
      </w:pPr>
      <w:r>
        <w:rPr>
          <w:rFonts w:ascii="Arial" w:cs="Arial" w:eastAsia="Arial" w:hAnsi="Arial"/>
          <w:color w:val="1a202c"/>
          <w:sz w:val="21"/>
          <w:szCs w:val="21"/>
        </w:rPr>
        <w:t xml:space="preserve">A component, module, or service has no current owner. The original author left. The team that inherited it was reorganised. Nobody formally took over. The component runs in production because it has not broken yet, but nobody is responsible for it. When it does break — during a dependency update, a security audit, or a load spike — there is nobody qualified to fix it.</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when asked 'who owns X?', the answer is a long pause followed by 'I think it might be [someone who left two years ago].'</w:t>
      </w:r>
    </w:p>
    <w:p>
      <w:pPr>
        <w:pStyle w:val="Heading2"/>
        <w:spacing w:after="100" w:before="320"/>
      </w:pPr>
      <w:r>
        <w:rPr>
          <w:rFonts w:ascii="Arial" w:cs="Arial" w:eastAsia="Arial" w:hAnsi="Arial"/>
          <w:b/>
          <w:bCs/>
          <w:color w:val="1a202c"/>
          <w:sz w:val="28"/>
          <w:szCs w:val="28"/>
        </w:rPr>
        <w:t xml:space="preserve">4.4 Purpose Drift</w:t>
      </w:r>
    </w:p>
    <w:p>
      <w:pPr>
        <w:spacing w:after="140"/>
        <w:jc w:val="both"/>
      </w:pPr>
      <w:r>
        <w:rPr>
          <w:rFonts w:ascii="Arial" w:cs="Arial" w:eastAsia="Arial" w:hAnsi="Arial"/>
          <w:color w:val="1a202c"/>
          <w:sz w:val="21"/>
          <w:szCs w:val="21"/>
        </w:rPr>
        <w:t xml:space="preserve">The system still works, and its original design is still respected, but the business no longer uses it for the purpose it was built for. A customer service platform is used for internal reporting. A content management system is used as a document archive. The architecture constrains what the system can do, but the constraints reflect a purpose that no longer matters. Effort goes into maintaining capabilities nobody uses while workarounds accumulate for the purposes people actually have.</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the most-used feature of the system is not described anywhere in the architecture documentation — it emerged organically from user behaviour.</w:t>
      </w:r>
    </w:p>
    <w:p>
      <w:pPr>
        <w:pStyle w:val="Heading2"/>
        <w:spacing w:after="100" w:before="320"/>
      </w:pPr>
      <w:r>
        <w:rPr>
          <w:rFonts w:ascii="Arial" w:cs="Arial" w:eastAsia="Arial" w:hAnsi="Arial"/>
          <w:b/>
          <w:bCs/>
          <w:color w:val="1a202c"/>
          <w:sz w:val="28"/>
          <w:szCs w:val="28"/>
        </w:rPr>
        <w:t xml:space="preserve">4.5 Amnesia</w:t>
      </w:r>
    </w:p>
    <w:p>
      <w:pPr>
        <w:spacing w:after="140"/>
        <w:jc w:val="both"/>
      </w:pPr>
      <w:r>
        <w:rPr>
          <w:rFonts w:ascii="Arial" w:cs="Arial" w:eastAsia="Arial" w:hAnsi="Arial"/>
          <w:color w:val="1a202c"/>
          <w:sz w:val="21"/>
          <w:szCs w:val="21"/>
        </w:rPr>
        <w:t xml:space="preserve">The system's original intent is irretrievable. Architectural decisions exist — 'we always use a queue here', 'this must never call that' — but the reasons are lost. New engineers treat the decisions as arbitrary rules. Over time, rules that made sense for specific reasons start being violated because nobody can articulate why they existed. The violations work in the short term. They break something else, later, in a way nobody predicts.</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architectural rules exist in documentation but have no rationale attached, and nobody living remembers the original discussion.</w:t>
      </w:r>
    </w:p>
    <w:p>
      <w:pPr>
        <w:pStyle w:val="Heading2"/>
        <w:spacing w:after="100" w:before="320"/>
      </w:pPr>
      <w:r>
        <w:rPr>
          <w:rFonts w:ascii="Arial" w:cs="Arial" w:eastAsia="Arial" w:hAnsi="Arial"/>
          <w:b/>
          <w:bCs/>
          <w:color w:val="1a202c"/>
          <w:sz w:val="28"/>
          <w:szCs w:val="28"/>
        </w:rPr>
        <w:t xml:space="preserve">4.6 Vendor Capture</w:t>
      </w:r>
    </w:p>
    <w:p>
      <w:pPr>
        <w:spacing w:after="140"/>
        <w:jc w:val="both"/>
      </w:pPr>
      <w:r>
        <w:rPr>
          <w:rFonts w:ascii="Arial" w:cs="Arial" w:eastAsia="Arial" w:hAnsi="Arial"/>
          <w:color w:val="1a202c"/>
          <w:sz w:val="21"/>
          <w:szCs w:val="21"/>
        </w:rPr>
        <w:t xml:space="preserve">The system is architecturally dependent on a specific vendor — a cloud provider, a SaaS tool, a licensed component — in ways that were not deliberate design choices. Over years, the dependencies accumulated until the system cannot be moved without rebuilding substantial portions. When the vendor raises prices, deprecates services, or goes out of business, the organisation has no realistic alternative.</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an honest estimate of 'cost to migrate off vendor X' is measured in years, not months, and was never discussed when the dependency was introduced.</w:t>
      </w:r>
    </w:p>
    <w:p>
      <w:pPr>
        <w:pStyle w:val="Heading2"/>
        <w:spacing w:after="100" w:before="320"/>
      </w:pPr>
      <w:r>
        <w:rPr>
          <w:rFonts w:ascii="Arial" w:cs="Arial" w:eastAsia="Arial" w:hAnsi="Arial"/>
          <w:b/>
          <w:bCs/>
          <w:color w:val="1a202c"/>
          <w:sz w:val="28"/>
          <w:szCs w:val="28"/>
        </w:rPr>
        <w:t xml:space="preserve">4.7 Cognitive Debt</w:t>
      </w:r>
    </w:p>
    <w:p>
      <w:pPr>
        <w:spacing w:after="140"/>
        <w:jc w:val="both"/>
      </w:pPr>
      <w:r>
        <w:rPr>
          <w:rFonts w:ascii="Arial" w:cs="Arial" w:eastAsia="Arial" w:hAnsi="Arial"/>
          <w:color w:val="1a202c"/>
          <w:sz w:val="21"/>
          <w:szCs w:val="21"/>
        </w:rPr>
        <w:t xml:space="preserve">No living human understands the whole system. Each engineer understands their corner. Knowledge is distributed across the team, but no single person — and crucially, no single artefact — captures the system's overall shape. When senior engineers leave, they take critical integrative knowledge with them that cannot be reconstructed from the codebase alone. Junior engineers inherit a system that is, in effect, an oral tradition with gaps.</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architectural questions can only be answered by convening multiple senior engineers; no document exists that answers them.</w:t>
      </w:r>
    </w:p>
    <w:p>
      <w:pPr>
        <w:pStyle w:val="Heading2"/>
        <w:spacing w:after="100" w:before="320"/>
      </w:pPr>
      <w:r>
        <w:rPr>
          <w:rFonts w:ascii="Arial" w:cs="Arial" w:eastAsia="Arial" w:hAnsi="Arial"/>
          <w:b/>
          <w:bCs/>
          <w:color w:val="1a202c"/>
          <w:sz w:val="28"/>
          <w:szCs w:val="28"/>
        </w:rPr>
        <w:t xml:space="preserve">4.8 Inheritance Failure</w:t>
      </w:r>
    </w:p>
    <w:p>
      <w:pPr>
        <w:spacing w:after="140"/>
        <w:jc w:val="both"/>
      </w:pPr>
      <w:r>
        <w:rPr>
          <w:rFonts w:ascii="Arial" w:cs="Arial" w:eastAsia="Arial" w:hAnsi="Arial"/>
          <w:color w:val="1a202c"/>
          <w:sz w:val="21"/>
          <w:szCs w:val="21"/>
        </w:rPr>
        <w:t xml:space="preserve">The next generation of engineers cannot maintain what the previous generation built. The tools are obsolete. The patterns are unfamiliar. The rationale is lost. Rather than maintain the existing system, the new team proposes a rewrite — which will itself, in another decade, face the same fate. The organisation loses a generation's worth of domain learning with each such rewrite.</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the phrase 'rewrite from scratch' is being seriously considered despite the system still functioning.</w:t>
      </w:r>
    </w:p>
    <w:p>
      <w:pPr>
        <w:pStyle w:val="Heading2"/>
        <w:spacing w:after="100" w:before="320"/>
      </w:pPr>
      <w:r>
        <w:rPr>
          <w:rFonts w:ascii="Arial" w:cs="Arial" w:eastAsia="Arial" w:hAnsi="Arial"/>
          <w:b/>
          <w:bCs/>
          <w:color w:val="1a202c"/>
          <w:sz w:val="28"/>
          <w:szCs w:val="28"/>
        </w:rPr>
        <w:t xml:space="preserve">4.9 Silent Contract Violation</w:t>
      </w:r>
    </w:p>
    <w:p>
      <w:pPr>
        <w:spacing w:after="140"/>
        <w:jc w:val="both"/>
      </w:pPr>
      <w:r>
        <w:rPr>
          <w:rFonts w:ascii="Arial" w:cs="Arial" w:eastAsia="Arial" w:hAnsi="Arial"/>
          <w:color w:val="1a202c"/>
          <w:sz w:val="21"/>
          <w:szCs w:val="21"/>
        </w:rPr>
        <w:t xml:space="preserve">A component was built assuming certain contracts would hold. Over time, upstream systems changed in ways that technically violate those contracts, but the violations are tolerated because the system mostly still works. The implicit contract decays. When a new downstream consumer arrives expecting the original contract, everything breaks in ways that are very hard to debug because the violations have been ambient for years.</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the system requires 'special knowledge' to integrate with — a series of undocumented gotchas that experienced engineers know about.</w:t>
      </w:r>
    </w:p>
    <w:p>
      <w:pPr>
        <w:pStyle w:val="Heading2"/>
        <w:spacing w:after="100" w:before="320"/>
      </w:pPr>
      <w:r>
        <w:rPr>
          <w:rFonts w:ascii="Arial" w:cs="Arial" w:eastAsia="Arial" w:hAnsi="Arial"/>
          <w:b/>
          <w:bCs/>
          <w:color w:val="1a202c"/>
          <w:sz w:val="28"/>
          <w:szCs w:val="28"/>
        </w:rPr>
        <w:t xml:space="preserve">4.10 Compliance Rot</w:t>
      </w:r>
    </w:p>
    <w:p>
      <w:pPr>
        <w:spacing w:after="140"/>
        <w:jc w:val="both"/>
      </w:pPr>
      <w:r>
        <w:rPr>
          <w:rFonts w:ascii="Arial" w:cs="Arial" w:eastAsia="Arial" w:hAnsi="Arial"/>
          <w:color w:val="1a202c"/>
          <w:sz w:val="21"/>
          <w:szCs w:val="21"/>
        </w:rPr>
        <w:t xml:space="preserve">The system was compliant with regulations at the time it was built. Regulations have changed. The system is still nominally compliant but only because the audit process is itself outdated. When a stricter audit arrives — driven by a new regulatory regime, an acquisition, or a public incident — the gaps between nominal and actual compliance become catastrophically visible.</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the last serious compliance audit was more than two years ago, and nobody is quite sure what the current audit would find.</w:t>
      </w:r>
    </w:p>
    <w:p>
      <w:pPr>
        <w:pStyle w:val="Heading2"/>
        <w:spacing w:after="100" w:before="320"/>
      </w:pPr>
      <w:r>
        <w:rPr>
          <w:rFonts w:ascii="Arial" w:cs="Arial" w:eastAsia="Arial" w:hAnsi="Arial"/>
          <w:b/>
          <w:bCs/>
          <w:color w:val="1a202c"/>
          <w:sz w:val="28"/>
          <w:szCs w:val="28"/>
        </w:rPr>
        <w:t xml:space="preserve">4.11 Shadow Architecture</w:t>
      </w:r>
    </w:p>
    <w:p>
      <w:pPr>
        <w:spacing w:after="140"/>
        <w:jc w:val="both"/>
      </w:pPr>
      <w:r>
        <w:rPr>
          <w:rFonts w:ascii="Arial" w:cs="Arial" w:eastAsia="Arial" w:hAnsi="Arial"/>
          <w:color w:val="1a202c"/>
          <w:sz w:val="21"/>
          <w:szCs w:val="21"/>
        </w:rPr>
        <w:t xml:space="preserve">The official architecture diagram no longer reflects how the system actually works. Real integrations happen outside the documented boundaries. Critical data flows through paths nobody captured. The official architecture has become theatre; the real architecture exists only in the minds of the engineers who built the workarounds. When those engineers leave, the shadow architecture becomes invisible.</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when a production incident happens, the root cause is in a component that was not on any architecture diagram.</w:t>
      </w:r>
    </w:p>
    <w:p>
      <w:pPr>
        <w:pStyle w:val="Heading2"/>
        <w:spacing w:after="100" w:before="320"/>
      </w:pPr>
      <w:r>
        <w:rPr>
          <w:rFonts w:ascii="Arial" w:cs="Arial" w:eastAsia="Arial" w:hAnsi="Arial"/>
          <w:b/>
          <w:bCs/>
          <w:color w:val="1a202c"/>
          <w:sz w:val="28"/>
          <w:szCs w:val="28"/>
        </w:rPr>
        <w:t xml:space="preserve">4.12 Model-Induced Drift</w:t>
      </w:r>
    </w:p>
    <w:p>
      <w:pPr>
        <w:spacing w:after="140"/>
        <w:jc w:val="both"/>
      </w:pPr>
      <w:r>
        <w:rPr>
          <w:rFonts w:ascii="Arial" w:cs="Arial" w:eastAsia="Arial" w:hAnsi="Arial"/>
          <w:color w:val="1a202c"/>
          <w:sz w:val="21"/>
          <w:szCs w:val="21"/>
        </w:rPr>
        <w:t xml:space="preserve">This is new. AI-assisted code, produced by one model generation, carries patterns and assumptions specific to that generation. When the next model takes over, it produces code with subtly different patterns. Over time, the codebase accumulates layers — each corresponding to a model era — that are internally consistent but do not cohere across layers. The system appears homogeneous but actually contains archaeological strata from different AI generations.</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files written a year apart, in the same language by the same team, exhibit noticeably different stylistic conventions that nobody can explain.</w:t>
      </w:r>
    </w:p>
    <w:p>
      <w:pPr>
        <w:pStyle w:val="Heading2"/>
        <w:spacing w:after="100" w:before="320"/>
      </w:pPr>
      <w:r>
        <w:rPr>
          <w:rFonts w:ascii="Arial" w:cs="Arial" w:eastAsia="Arial" w:hAnsi="Arial"/>
          <w:b/>
          <w:bCs/>
          <w:color w:val="1a202c"/>
          <w:sz w:val="28"/>
          <w:szCs w:val="28"/>
        </w:rPr>
        <w:t xml:space="preserve">4.13 Plausibility Cascade</w:t>
      </w:r>
    </w:p>
    <w:p>
      <w:pPr>
        <w:spacing w:after="140"/>
        <w:jc w:val="both"/>
      </w:pPr>
      <w:r>
        <w:rPr>
          <w:rFonts w:ascii="Arial" w:cs="Arial" w:eastAsia="Arial" w:hAnsi="Arial"/>
          <w:color w:val="1a202c"/>
          <w:sz w:val="21"/>
          <w:szCs w:val="21"/>
        </w:rPr>
        <w:t xml:space="preserve">A piece of code was added because it looked right. Other code was added on top, trusting the first addition. Eventually the original addition is found to have been subtly wrong — it hallucinated an API, made an incorrect assumption, or violated an invariant. But it is now load-bearing. Everything above it depends on the plausible-but-wrong foundation. Fixing it requires rebuilding substantial portions of what was built on top.</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a bug investigation turns up something that 'should never have worked' — and yet did, because everyone assumed it was correct.</w:t>
      </w:r>
    </w:p>
    <w:p>
      <w:pPr>
        <w:pStyle w:val="Heading2"/>
        <w:spacing w:after="100" w:before="320"/>
      </w:pPr>
      <w:r>
        <w:rPr>
          <w:rFonts w:ascii="Arial" w:cs="Arial" w:eastAsia="Arial" w:hAnsi="Arial"/>
          <w:b/>
          <w:bCs/>
          <w:color w:val="1a202c"/>
          <w:sz w:val="28"/>
          <w:szCs w:val="28"/>
        </w:rPr>
        <w:t xml:space="preserve">4.14 Decommissioning Paralysis</w:t>
      </w:r>
    </w:p>
    <w:p>
      <w:pPr>
        <w:spacing w:after="140"/>
        <w:jc w:val="both"/>
      </w:pPr>
      <w:r>
        <w:rPr>
          <w:rFonts w:ascii="Arial" w:cs="Arial" w:eastAsia="Arial" w:hAnsi="Arial"/>
          <w:color w:val="1a202c"/>
          <w:sz w:val="21"/>
          <w:szCs w:val="21"/>
        </w:rPr>
        <w:t xml:space="preserve">A system has been marked for retirement. A replacement has been built. But the old system cannot be shut off. It turns out something depends on it — maybe a batch process nobody inventoried, maybe a data export nobody documented, maybe a reporting dashboard someone built years ago. Each time decommissioning is attempted, something breaks. The old system lives on, running in a corner, consuming resources, until eventually it must be maintained alongside its replacement forever.</w:t>
      </w:r>
    </w:p>
    <w:p>
      <w:pPr>
        <w:spacing w:after="140"/>
        <w:jc w:val="both"/>
      </w:pPr>
      <w:r>
        <w:rPr>
          <w:rFonts w:ascii="Arial" w:cs="Arial" w:eastAsia="Arial" w:hAnsi="Arial"/>
          <w:b/>
          <w:bCs/>
          <w:color w:val="002b4d"/>
          <w:sz w:val="21"/>
          <w:szCs w:val="21"/>
        </w:rPr>
        <w:t xml:space="preserve">Early signal: </w:t>
      </w:r>
      <w:r>
        <w:rPr>
          <w:rFonts w:ascii="Arial" w:cs="Arial" w:eastAsia="Arial" w:hAnsi="Arial"/>
          <w:color w:val="1a202c"/>
          <w:sz w:val="21"/>
          <w:szCs w:val="21"/>
        </w:rPr>
        <w:t xml:space="preserve">the phrase 'I thought we turned that off years ago' is said about a currently-running system.</w:t>
      </w:r>
    </w:p>
    <w:p>
      <w:pPr>
        <w:pStyle w:val="Heading2"/>
        <w:spacing w:after="100" w:before="320"/>
      </w:pPr>
      <w:r>
        <w:rPr>
          <w:rFonts w:ascii="Arial" w:cs="Arial" w:eastAsia="Arial" w:hAnsi="Arial"/>
          <w:b/>
          <w:bCs/>
          <w:color w:val="1a202c"/>
          <w:sz w:val="28"/>
          <w:szCs w:val="28"/>
        </w:rPr>
        <w:t xml:space="preserve">4.15 Using the Catalogue</w:t>
      </w:r>
    </w:p>
    <w:p>
      <w:pPr>
        <w:spacing w:after="140"/>
        <w:jc w:val="both"/>
      </w:pPr>
      <w:r>
        <w:rPr>
          <w:rFonts w:ascii="Arial" w:cs="Arial" w:eastAsia="Arial" w:hAnsi="Arial"/>
          <w:color w:val="1a202c"/>
          <w:sz w:val="21"/>
          <w:szCs w:val="21"/>
        </w:rPr>
        <w:t xml:space="preserve">Three practical uses:</w:t>
      </w:r>
    </w:p>
    <w:p>
      <w:pPr>
        <w:pStyle w:val="ListParagraph"/>
        <w:numPr>
          <w:ilvl w:val="0"/>
          <w:numId w:val="2"/>
        </w:numPr>
        <w:spacing w:after="70"/>
      </w:pPr>
      <w:r>
        <w:rPr>
          <w:rFonts w:ascii="Arial" w:cs="Arial" w:eastAsia="Arial" w:hAnsi="Arial"/>
          <w:color w:val="1a202c"/>
          <w:sz w:val="21"/>
          <w:szCs w:val="21"/>
        </w:rPr>
        <w:t xml:space="preserve">As a diagnostic. Walk through the fourteen failure modes. For each, ask whether your current system shows the early signal. Those that do are where the fragility is.</w:t>
      </w:r>
    </w:p>
    <w:p>
      <w:pPr>
        <w:pStyle w:val="ListParagraph"/>
        <w:numPr>
          <w:ilvl w:val="0"/>
          <w:numId w:val="2"/>
        </w:numPr>
        <w:spacing w:after="70"/>
      </w:pPr>
      <w:r>
        <w:rPr>
          <w:rFonts w:ascii="Arial" w:cs="Arial" w:eastAsia="Arial" w:hAnsi="Arial"/>
          <w:color w:val="1a202c"/>
          <w:sz w:val="21"/>
          <w:szCs w:val="21"/>
        </w:rPr>
        <w:t xml:space="preserve">As an early warning vocabulary. Once the failure modes are named and understood across a team, engineers will start saying 'that sounds like Ossification risk' or 'we might be heading toward Purpose Drift.' Early naming enables early intervention.</w:t>
      </w:r>
    </w:p>
    <w:p>
      <w:pPr>
        <w:pStyle w:val="ListParagraph"/>
        <w:numPr>
          <w:ilvl w:val="0"/>
          <w:numId w:val="2"/>
        </w:numPr>
        <w:spacing w:after="70"/>
      </w:pPr>
      <w:r>
        <w:rPr>
          <w:rFonts w:ascii="Arial" w:cs="Arial" w:eastAsia="Arial" w:hAnsi="Arial"/>
          <w:color w:val="1a202c"/>
          <w:sz w:val="21"/>
          <w:szCs w:val="21"/>
        </w:rPr>
        <w:t xml:space="preserve">As a selling tool. Enterprise buyers respond to concrete failure language. 'Your system might be in the early stages of Ghost Ownership' lands harder than 'your architecture has technical debt.'</w:t>
      </w:r>
    </w:p>
    <w:p>
      <w:r>
        <w:br w:type="page"/>
      </w:r>
    </w:p>
    <w:p>
      <w:pPr>
        <w:pStyle w:val="Heading1"/>
        <w:spacing w:after="160" w:before="480"/>
      </w:pPr>
      <w:r>
        <w:rPr>
          <w:rFonts w:ascii="Arial" w:cs="Arial" w:eastAsia="Arial" w:hAnsi="Arial"/>
          <w:b/>
          <w:bCs/>
          <w:color w:val="002b4d"/>
          <w:sz w:val="38"/>
          <w:szCs w:val="38"/>
        </w:rPr>
        <w:t xml:space="preserve">5. The Stakes</w:t>
      </w:r>
    </w:p>
    <w:p>
      <w:pPr>
        <w:spacing w:after="140"/>
        <w:jc w:val="both"/>
      </w:pPr>
      <w:r>
        <w:rPr>
          <w:rFonts w:ascii="Arial" w:cs="Arial" w:eastAsia="Arial" w:hAnsi="Arial"/>
          <w:color w:val="1a202c"/>
          <w:sz w:val="21"/>
          <w:szCs w:val="21"/>
        </w:rPr>
        <w:t xml:space="preserve">This section answers a question enterprise buyers ask before investing in any architectural change: what does it actually cost if we keep doing what we are doing?</w:t>
      </w:r>
    </w:p>
    <w:p>
      <w:pPr>
        <w:spacing w:after="140"/>
        <w:jc w:val="both"/>
      </w:pPr>
      <w:r>
        <w:rPr>
          <w:rFonts w:ascii="Arial" w:cs="Arial" w:eastAsia="Arial" w:hAnsi="Arial"/>
          <w:color w:val="1a202c"/>
          <w:sz w:val="21"/>
          <w:szCs w:val="21"/>
        </w:rPr>
        <w:t xml:space="preserve">The honest answer is: much more than most organisations calculate, because most of the cost is invisible.</w:t>
      </w:r>
    </w:p>
    <w:p>
      <w:pPr>
        <w:pStyle w:val="Heading2"/>
        <w:spacing w:after="100" w:before="320"/>
      </w:pPr>
      <w:r>
        <w:rPr>
          <w:rFonts w:ascii="Arial" w:cs="Arial" w:eastAsia="Arial" w:hAnsi="Arial"/>
          <w:b/>
          <w:bCs/>
          <w:color w:val="1a202c"/>
          <w:sz w:val="28"/>
          <w:szCs w:val="28"/>
        </w:rPr>
        <w:t xml:space="preserve">5.1 The Visible Costs</w:t>
      </w:r>
    </w:p>
    <w:p>
      <w:pPr>
        <w:spacing w:after="140"/>
        <w:jc w:val="both"/>
      </w:pPr>
      <w:r>
        <w:rPr>
          <w:rFonts w:ascii="Arial" w:cs="Arial" w:eastAsia="Arial" w:hAnsi="Arial"/>
          <w:color w:val="1a202c"/>
          <w:sz w:val="21"/>
          <w:szCs w:val="21"/>
        </w:rPr>
        <w:t xml:space="preserve">These are the costs that appear on budgets and get discussed in steering committees:</w:t>
      </w:r>
    </w:p>
    <w:p>
      <w:pPr>
        <w:pStyle w:val="ListParagraph"/>
        <w:numPr>
          <w:ilvl w:val="0"/>
          <w:numId w:val="3"/>
        </w:numPr>
        <w:spacing w:after="70"/>
      </w:pPr>
      <w:r>
        <w:rPr>
          <w:rFonts w:ascii="Arial" w:cs="Arial" w:eastAsia="Arial" w:hAnsi="Arial"/>
          <w:color w:val="1a202c"/>
          <w:sz w:val="21"/>
          <w:szCs w:val="21"/>
        </w:rPr>
        <w:t xml:space="preserve">Rewrite cost — large enterprise systems that have reached the failure state of inheritance failure typically cost 2-5× their original development budget to rewrite</w:t>
      </w:r>
    </w:p>
    <w:p>
      <w:pPr>
        <w:pStyle w:val="ListParagraph"/>
        <w:numPr>
          <w:ilvl w:val="0"/>
          <w:numId w:val="3"/>
        </w:numPr>
        <w:spacing w:after="70"/>
      </w:pPr>
      <w:r>
        <w:rPr>
          <w:rFonts w:ascii="Arial" w:cs="Arial" w:eastAsia="Arial" w:hAnsi="Arial"/>
          <w:color w:val="1a202c"/>
          <w:sz w:val="21"/>
          <w:szCs w:val="21"/>
        </w:rPr>
        <w:t xml:space="preserve">Migration cost — vendor capture and infrastructure lock-in produce migration projects measured in tens of millions of pounds or dollars for mid-sized enterprises</w:t>
      </w:r>
    </w:p>
    <w:p>
      <w:pPr>
        <w:pStyle w:val="ListParagraph"/>
        <w:numPr>
          <w:ilvl w:val="0"/>
          <w:numId w:val="3"/>
        </w:numPr>
        <w:spacing w:after="70"/>
      </w:pPr>
      <w:r>
        <w:rPr>
          <w:rFonts w:ascii="Arial" w:cs="Arial" w:eastAsia="Arial" w:hAnsi="Arial"/>
          <w:color w:val="1a202c"/>
          <w:sz w:val="21"/>
          <w:szCs w:val="21"/>
        </w:rPr>
        <w:t xml:space="preserve">Compliance penalty — regulatory fines for systems that have rotted past compliance range from hundreds of thousands to billions, depending on jurisdiction and sector</w:t>
      </w:r>
    </w:p>
    <w:p>
      <w:pPr>
        <w:pStyle w:val="ListParagraph"/>
        <w:numPr>
          <w:ilvl w:val="0"/>
          <w:numId w:val="3"/>
        </w:numPr>
        <w:spacing w:after="70"/>
      </w:pPr>
      <w:r>
        <w:rPr>
          <w:rFonts w:ascii="Arial" w:cs="Arial" w:eastAsia="Arial" w:hAnsi="Arial"/>
          <w:color w:val="1a202c"/>
          <w:sz w:val="21"/>
          <w:szCs w:val="21"/>
        </w:rPr>
        <w:t xml:space="preserve">Incident cost — major production incidents caused by shadow architecture or plausibility cascades regularly cost seven or eight figures in direct loss plus reputation</w:t>
      </w:r>
    </w:p>
    <w:p>
      <w:pPr>
        <w:pStyle w:val="Heading2"/>
        <w:spacing w:after="100" w:before="320"/>
      </w:pPr>
      <w:r>
        <w:rPr>
          <w:rFonts w:ascii="Arial" w:cs="Arial" w:eastAsia="Arial" w:hAnsi="Arial"/>
          <w:b/>
          <w:bCs/>
          <w:color w:val="1a202c"/>
          <w:sz w:val="28"/>
          <w:szCs w:val="28"/>
        </w:rPr>
        <w:t xml:space="preserve">5.2 The Invisible Costs</w:t>
      </w:r>
    </w:p>
    <w:p>
      <w:pPr>
        <w:spacing w:after="140"/>
        <w:jc w:val="both"/>
      </w:pPr>
      <w:r>
        <w:rPr>
          <w:rFonts w:ascii="Arial" w:cs="Arial" w:eastAsia="Arial" w:hAnsi="Arial"/>
          <w:color w:val="1a202c"/>
          <w:sz w:val="21"/>
          <w:szCs w:val="21"/>
        </w:rPr>
        <w:t xml:space="preserve">These are the costs that rarely appear on budgets but dwarf the visible ones:</w:t>
      </w:r>
    </w:p>
    <w:p>
      <w:pPr>
        <w:pStyle w:val="ListParagraph"/>
        <w:numPr>
          <w:ilvl w:val="0"/>
          <w:numId w:val="3"/>
        </w:numPr>
        <w:spacing w:after="70"/>
      </w:pPr>
      <w:r>
        <w:rPr>
          <w:rFonts w:ascii="Arial" w:cs="Arial" w:eastAsia="Arial" w:hAnsi="Arial"/>
          <w:color w:val="1a202c"/>
          <w:sz w:val="21"/>
          <w:szCs w:val="21"/>
        </w:rPr>
        <w:t xml:space="preserve">Velocity loss — an ossifying system slows new feature delivery. Organisations typically do not measure this loss, but it compounds. A system that could deliver features weekly in year one delivering them quarterly in year five has lost most of its economic value without anyone noticing.</w:t>
      </w:r>
    </w:p>
    <w:p>
      <w:pPr>
        <w:pStyle w:val="ListParagraph"/>
        <w:numPr>
          <w:ilvl w:val="0"/>
          <w:numId w:val="3"/>
        </w:numPr>
        <w:spacing w:after="70"/>
      </w:pPr>
      <w:r>
        <w:rPr>
          <w:rFonts w:ascii="Arial" w:cs="Arial" w:eastAsia="Arial" w:hAnsi="Arial"/>
          <w:color w:val="1a202c"/>
          <w:sz w:val="21"/>
          <w:szCs w:val="21"/>
        </w:rPr>
        <w:t xml:space="preserve">Opportunity cost — features that were never even proposed because the architecture was known to make them too expensive. This is the largest invisible cost and nobody tracks it.</w:t>
      </w:r>
    </w:p>
    <w:p>
      <w:pPr>
        <w:pStyle w:val="ListParagraph"/>
        <w:numPr>
          <w:ilvl w:val="0"/>
          <w:numId w:val="3"/>
        </w:numPr>
        <w:spacing w:after="70"/>
      </w:pPr>
      <w:r>
        <w:rPr>
          <w:rFonts w:ascii="Arial" w:cs="Arial" w:eastAsia="Arial" w:hAnsi="Arial"/>
          <w:color w:val="1a202c"/>
          <w:sz w:val="21"/>
          <w:szCs w:val="21"/>
        </w:rPr>
        <w:t xml:space="preserve">Talent attrition — engineers leave systems that are painful to work with. The best engineers leave first. The replacement engineers are less experienced, and the system's quality declines further. Attrition cost is rarely attributed to architectural fragility but often stems from it.</w:t>
      </w:r>
    </w:p>
    <w:p>
      <w:pPr>
        <w:pStyle w:val="ListParagraph"/>
        <w:numPr>
          <w:ilvl w:val="0"/>
          <w:numId w:val="3"/>
        </w:numPr>
        <w:spacing w:after="70"/>
      </w:pPr>
      <w:r>
        <w:rPr>
          <w:rFonts w:ascii="Arial" w:cs="Arial" w:eastAsia="Arial" w:hAnsi="Arial"/>
          <w:color w:val="1a202c"/>
          <w:sz w:val="21"/>
          <w:szCs w:val="21"/>
        </w:rPr>
        <w:t xml:space="preserve">Strategic inflexibility — an organisation whose core system cannot accommodate a pivot cannot pivot. Market opportunities are missed not because of poor strategy but because of architecture that forecloses it. This cost is unbounded.</w:t>
      </w:r>
    </w:p>
    <w:p>
      <w:pPr>
        <w:pStyle w:val="Heading2"/>
        <w:spacing w:after="100" w:before="320"/>
      </w:pPr>
      <w:r>
        <w:rPr>
          <w:rFonts w:ascii="Arial" w:cs="Arial" w:eastAsia="Arial" w:hAnsi="Arial"/>
          <w:b/>
          <w:bCs/>
          <w:color w:val="1a202c"/>
          <w:sz w:val="28"/>
          <w:szCs w:val="28"/>
        </w:rPr>
        <w:t xml:space="preserve">5.3 The Calculus of Long Lifetimes</w:t>
      </w:r>
    </w:p>
    <w:p>
      <w:pPr>
        <w:spacing w:after="140"/>
        <w:jc w:val="both"/>
      </w:pPr>
      <w:r>
        <w:rPr>
          <w:rFonts w:ascii="Arial" w:cs="Arial" w:eastAsia="Arial" w:hAnsi="Arial"/>
          <w:color w:val="1a202c"/>
          <w:sz w:val="21"/>
          <w:szCs w:val="21"/>
        </w:rPr>
        <w:t xml:space="preserve">A critical point, often missed: architectural investment compounds over system lifetime.</w:t>
      </w:r>
    </w:p>
    <w:p>
      <w:pPr>
        <w:spacing w:after="140"/>
        <w:jc w:val="both"/>
      </w:pPr>
      <w:r>
        <w:rPr>
          <w:rFonts w:ascii="Arial" w:cs="Arial" w:eastAsia="Arial" w:hAnsi="Arial"/>
          <w:color w:val="1a202c"/>
          <w:sz w:val="21"/>
          <w:szCs w:val="21"/>
        </w:rPr>
        <w:t xml:space="preserve">A system built with SEA principles costs, perhaps, 15-25% more to build initially. The sealed contracts take time to specify. The governance structure takes time to establish. The extension patterns require upfront thought. Over a three-year system lifetime, this investment does not pay back.</w:t>
      </w:r>
    </w:p>
    <w:p>
      <w:pPr>
        <w:spacing w:after="140"/>
        <w:jc w:val="both"/>
      </w:pPr>
      <w:r>
        <w:rPr>
          <w:rFonts w:ascii="Arial" w:cs="Arial" w:eastAsia="Arial" w:hAnsi="Arial"/>
          <w:color w:val="1a202c"/>
          <w:sz w:val="21"/>
          <w:szCs w:val="21"/>
        </w:rPr>
        <w:t xml:space="preserve">Over a fifteen-year lifetime, the calculation reverses. The compounding value of not-rewriting, not-migrating-under-duress, not-losing-institutional-memory, and retaining strategic flexibility exceeds the upfront cost many times over. The longer the expected lifetime, the greater the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120"/>
              <w:jc w:val="center"/>
            </w:pPr>
            <w:r>
              <w:rPr>
                <w:rFonts w:ascii="Arial" w:cs="Arial" w:eastAsia="Arial" w:hAnsi="Arial"/>
                <w:i/>
                <w:iCs/>
                <w:color w:val="002b4d"/>
                <w:sz w:val="26"/>
                <w:szCs w:val="26"/>
              </w:rPr>
              <w:t xml:space="preserve">SEA is expensive to adopt for short-lived systems and indispensable for long-lived ones.</w:t>
            </w:r>
          </w:p>
          <w:p>
            <w:pPr>
              <w:jc w:val="center"/>
            </w:pPr>
            <w:r>
              <w:rPr>
                <w:rFonts w:ascii="Arial" w:cs="Arial" w:eastAsia="Arial" w:hAnsi="Arial"/>
                <w:color w:val="64748b"/>
                <w:sz w:val="18"/>
                <w:szCs w:val="18"/>
              </w:rPr>
              <w:t xml:space="preserve">— The adoption calculus</w:t>
            </w:r>
          </w:p>
        </w:tc>
      </w:tr>
    </w:tbl>
    <w:p>
      <w:pPr>
        <w:pStyle w:val="Heading2"/>
        <w:spacing w:after="100" w:before="320"/>
      </w:pPr>
      <w:r>
        <w:rPr>
          <w:rFonts w:ascii="Arial" w:cs="Arial" w:eastAsia="Arial" w:hAnsi="Arial"/>
          <w:b/>
          <w:bCs/>
          <w:color w:val="1a202c"/>
          <w:sz w:val="28"/>
          <w:szCs w:val="28"/>
        </w:rPr>
        <w:t xml:space="preserve">5.4 Sector Examples</w:t>
      </w:r>
    </w:p>
    <w:p>
      <w:pPr>
        <w:spacing w:after="140"/>
        <w:jc w:val="both"/>
      </w:pPr>
      <w:r>
        <w:rPr>
          <w:rFonts w:ascii="Arial" w:cs="Arial" w:eastAsia="Arial" w:hAnsi="Arial"/>
          <w:color w:val="1a202c"/>
          <w:sz w:val="21"/>
          <w:szCs w:val="21"/>
        </w:rPr>
        <w:t xml:space="preserve">Specific sectors where the long-lifetime calculation most strongly favours SEA: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Sector</w:t>
            </w:r>
          </w:p>
        </w:tc>
        <w:tc>
          <w:tcPr>
            <w:tcW w:type="dxa" w:w="3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Why systems live long</w:t>
            </w:r>
          </w:p>
        </w:tc>
        <w:tc>
          <w:tcPr>
            <w:tcW w:type="dxa" w:w="35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What fragility costs</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Core banking</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Regulatory anchoring, network effects with partners, deep customer data</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Migration projects measured in 5-10 years and hundreds of millions</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Healthcare records</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Patient data retention laws, clinical safety certification cycles</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Regulatory penalties, patient safety incidents, compliance remediation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Government systems</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Legislative mandates, inter-agency integration, citizen data trust</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Public failures become political liabilities; rewrites rarely complete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Critical infrastructure</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Physical asset lifetime (bridges, grids, pipelines, transport)</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Safety incidents, regulatory shutdown, public inquiry costs</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Industrial control</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Manufacturing equipment lifetimes 20-40 years</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Downtime directly translates to lost production revenue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Aerospace / defence</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Platform lifetimes 30-50 years; regulatory certification overhead</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Certification re-runs cost years and hundreds of millions</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Insurance / actuarial</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Policy terms of 30-50 years; data lineage critical</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Reserve calculation errors, regulatory capital breaches</w:t>
            </w:r>
          </w:p>
        </w:tc>
      </w:tr>
    </w:tbl>
    <w:p>
      <w:pPr>
        <w:spacing w:after="140"/>
        <w:jc w:val="both"/>
      </w:pPr>
      <w:r>
        <w:rPr>
          <w:rFonts w:ascii="Arial" w:cs="Arial" w:eastAsia="Arial" w:hAnsi="Arial"/>
          <w:color w:val="1a202c"/>
          <w:sz w:val="21"/>
          <w:szCs w:val="21"/>
        </w:rPr>
        <w:t xml:space="preserve">In each of these sectors, the cost of getting architecture wrong compounds over decades. SEA's value proposition is proportionally stronger there than in sectors with shorter horizons.</w:t>
      </w:r>
    </w:p>
    <w:p>
      <w:r>
        <w:br w:type="page"/>
      </w:r>
    </w:p>
    <w:p>
      <w:pPr>
        <w:spacing w:after="100" w:before="600"/>
        <w:jc w:val="center"/>
      </w:pPr>
      <w:r>
        <w:rPr>
          <w:rFonts w:ascii="Arial" w:cs="Arial" w:eastAsia="Arial" w:hAnsi="Arial"/>
          <w:b/>
          <w:bCs/>
          <w:color w:val="64748b"/>
          <w:sz w:val="24"/>
          <w:szCs w:val="24"/>
        </w:rPr>
        <w:t xml:space="preserve">PART II</w:t>
      </w:r>
    </w:p>
    <w:p>
      <w:pPr>
        <w:spacing w:after="400"/>
        <w:jc w:val="center"/>
      </w:pPr>
      <w:r>
        <w:rPr>
          <w:rFonts w:ascii="Arial" w:cs="Arial" w:eastAsia="Arial" w:hAnsi="Arial"/>
          <w:b/>
          <w:bCs/>
          <w:color w:val="002b4d"/>
          <w:sz w:val="56"/>
          <w:szCs w:val="56"/>
        </w:rPr>
        <w:t xml:space="preserve">The Philosophy</w:t>
      </w:r>
    </w:p>
    <w:p>
      <w:pPr>
        <w:spacing w:after="200"/>
        <w:jc w:val="center"/>
      </w:pPr>
      <w:r>
        <w:rPr>
          <w:rFonts w:ascii="Arial" w:cs="Arial" w:eastAsia="Arial" w:hAnsi="Arial"/>
          <w:i/>
          <w:iCs/>
          <w:color w:val="1a202c"/>
          <w:sz w:val="24"/>
          <w:szCs w:val="24"/>
        </w:rPr>
        <w:t xml:space="preserve">Separating the durable from the transient.
The seven principles that follow from that separation.</w:t>
      </w:r>
    </w:p>
    <w:p>
      <w:r>
        <w:br w:type="page"/>
      </w:r>
    </w:p>
    <w:p>
      <w:pPr>
        <w:pStyle w:val="Heading1"/>
        <w:spacing w:after="160" w:before="480"/>
      </w:pPr>
      <w:r>
        <w:rPr>
          <w:rFonts w:ascii="Arial" w:cs="Arial" w:eastAsia="Arial" w:hAnsi="Arial"/>
          <w:b/>
          <w:bCs/>
          <w:color w:val="002b4d"/>
          <w:sz w:val="38"/>
          <w:szCs w:val="38"/>
        </w:rPr>
        <w:t xml:space="preserve">6. The Core Insight</w:t>
      </w:r>
    </w:p>
    <w:p>
      <w:pPr>
        <w:spacing w:after="140"/>
        <w:jc w:val="both"/>
      </w:pPr>
      <w:r>
        <w:rPr>
          <w:rFonts w:ascii="Arial" w:cs="Arial" w:eastAsia="Arial" w:hAnsi="Arial"/>
          <w:color w:val="1a202c"/>
          <w:sz w:val="21"/>
          <w:szCs w:val="21"/>
        </w:rPr>
        <w:t xml:space="preserve">Every architectural failure catalogued in Section 4 has the same underlying cause: the failure to distinguish, explicitly and formally, between what must persist and what must change.</w:t>
      </w:r>
    </w:p>
    <w:p>
      <w:pPr>
        <w:spacing w:after="140"/>
        <w:jc w:val="both"/>
      </w:pPr>
      <w:r>
        <w:rPr>
          <w:rFonts w:ascii="Arial" w:cs="Arial" w:eastAsia="Arial" w:hAnsi="Arial"/>
          <w:color w:val="1a202c"/>
          <w:sz w:val="21"/>
          <w:szCs w:val="21"/>
        </w:rPr>
        <w:t xml:space="preserve">Consider a working counter-example. Civil engineering succeeds at long-lived structures because it distinguishes, at every level of the structure, which elements are designed to outlast the whole and which are designed to be replaced. Foundations are permanent. Pillars are sealed. Road surfaces are replaceable. Signage and markings are essentially disposable. Each element has a different expected lifetime, a different replacement mechanism, and a different governance model. The distinction is not implicit — it is explicit in the engineering specification, the maintenance manual, the inspection regime, and the budget.</w:t>
      </w:r>
    </w:p>
    <w:p>
      <w:pPr>
        <w:spacing w:after="140"/>
        <w:jc w:val="both"/>
      </w:pPr>
      <w:r>
        <w:rPr>
          <w:rFonts w:ascii="Arial" w:cs="Arial" w:eastAsia="Arial" w:hAnsi="Arial"/>
          <w:color w:val="1a202c"/>
          <w:sz w:val="21"/>
          <w:szCs w:val="21"/>
        </w:rPr>
        <w:t xml:space="preserve">Software engineering rarely makes these distinctions. A codebase is, structurally, flat. Every line of code has the same status as every other line. There is no formal declaration of 'this is permanent, this is seasonal, this is experimental.' Engineers are left to infer, from code comments and tribal memory, what can be safely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The core insight of Sealed Enterprise Architecture is that the distinction between durable and transient must be explicit, formal, and enforceable.</w:t>
            </w:r>
          </w:p>
        </w:tc>
      </w:tr>
    </w:tbl>
    <w:p>
      <w:pPr>
        <w:pStyle w:val="Heading2"/>
        <w:spacing w:after="100" w:before="320"/>
      </w:pPr>
      <w:r>
        <w:rPr>
          <w:rFonts w:ascii="Arial" w:cs="Arial" w:eastAsia="Arial" w:hAnsi="Arial"/>
          <w:b/>
          <w:bCs/>
          <w:color w:val="1a202c"/>
          <w:sz w:val="28"/>
          <w:szCs w:val="28"/>
        </w:rPr>
        <w:t xml:space="preserve">6.1 The Two Layers</w:t>
      </w:r>
    </w:p>
    <w:p>
      <w:pPr>
        <w:spacing w:after="140"/>
        <w:jc w:val="both"/>
      </w:pPr>
      <w:r>
        <w:rPr>
          <w:rFonts w:ascii="Arial" w:cs="Arial" w:eastAsia="Arial" w:hAnsi="Arial"/>
          <w:color w:val="1a202c"/>
          <w:sz w:val="21"/>
          <w:szCs w:val="21"/>
        </w:rPr>
        <w:t xml:space="preserve">Every element in a SEA-governed system belongs to one of two layers:</w:t>
      </w:r>
    </w:p>
    <w:p>
      <w:pPr>
        <w:pStyle w:val="Heading3"/>
        <w:spacing w:after="80" w:before="220"/>
      </w:pPr>
      <w:r>
        <w:rPr>
          <w:rFonts w:ascii="Arial" w:cs="Arial" w:eastAsia="Arial" w:hAnsi="Arial"/>
          <w:b/>
          <w:bCs/>
          <w:color w:val="004271"/>
          <w:sz w:val="23"/>
          <w:szCs w:val="23"/>
        </w:rPr>
        <w:t xml:space="preserve">The Durable Layer</w:t>
      </w:r>
    </w:p>
    <w:p>
      <w:pPr>
        <w:spacing w:after="140"/>
        <w:jc w:val="both"/>
      </w:pPr>
      <w:r>
        <w:rPr>
          <w:rFonts w:ascii="Arial" w:cs="Arial" w:eastAsia="Arial" w:hAnsi="Arial"/>
          <w:color w:val="1a202c"/>
          <w:sz w:val="21"/>
          <w:szCs w:val="21"/>
        </w:rPr>
        <w:t xml:space="preserve">Contracts, interfaces, invariants, intent, data models, and protocols that must persist across all four dimensions of change. These are sealed. They cannot be modified once committed. They can only be extended (adding new elements alongside) or replaced through a formal, high-ceremony retirement protocol.</w:t>
      </w:r>
    </w:p>
    <w:p>
      <w:pPr>
        <w:spacing w:after="140"/>
        <w:jc w:val="both"/>
      </w:pPr>
      <w:r>
        <w:rPr>
          <w:rFonts w:ascii="Arial" w:cs="Arial" w:eastAsia="Arial" w:hAnsi="Arial"/>
          <w:color w:val="1a202c"/>
          <w:sz w:val="21"/>
          <w:szCs w:val="21"/>
        </w:rPr>
        <w:t xml:space="preserve">The durable layer is small relative to the overall system. In a well-designed SEA system, perhaps 10-20% of the total codebase is durable. This is the equivalent of foundations and pillars in a bridge.</w:t>
      </w:r>
    </w:p>
    <w:p>
      <w:pPr>
        <w:pStyle w:val="Heading3"/>
        <w:spacing w:after="80" w:before="220"/>
      </w:pPr>
      <w:r>
        <w:rPr>
          <w:rFonts w:ascii="Arial" w:cs="Arial" w:eastAsia="Arial" w:hAnsi="Arial"/>
          <w:b/>
          <w:bCs/>
          <w:color w:val="004271"/>
          <w:sz w:val="23"/>
          <w:szCs w:val="23"/>
        </w:rPr>
        <w:t xml:space="preserve">The Transient Layer</w:t>
      </w:r>
    </w:p>
    <w:p>
      <w:pPr>
        <w:spacing w:after="140"/>
        <w:jc w:val="both"/>
      </w:pPr>
      <w:r>
        <w:rPr>
          <w:rFonts w:ascii="Arial" w:cs="Arial" w:eastAsia="Arial" w:hAnsi="Arial"/>
          <w:color w:val="1a202c"/>
          <w:sz w:val="21"/>
          <w:szCs w:val="21"/>
        </w:rPr>
        <w:t xml:space="preserve">Implementations, optimisations, UI treatments, specific algorithms, infrastructure integrations, and business logic that implements but does not define the system's identity. These are designed to be replaced. Engineers modify them freely. AI assistants can rewrite them as needed. Framework migrations affect this layer, not the durable one.</w:t>
      </w:r>
    </w:p>
    <w:p>
      <w:pPr>
        <w:spacing w:after="140"/>
        <w:jc w:val="both"/>
      </w:pPr>
      <w:r>
        <w:rPr>
          <w:rFonts w:ascii="Arial" w:cs="Arial" w:eastAsia="Arial" w:hAnsi="Arial"/>
          <w:color w:val="1a202c"/>
          <w:sz w:val="21"/>
          <w:szCs w:val="21"/>
        </w:rPr>
        <w:t xml:space="preserve">The transient layer is most of the codebase. It is where change happens. It is where AI-assisted development can run at full velocity without endangering the system.</w:t>
      </w:r>
    </w:p>
    <w:p>
      <w:pPr>
        <w:pStyle w:val="Heading2"/>
        <w:spacing w:after="100" w:before="320"/>
      </w:pPr>
      <w:r>
        <w:rPr>
          <w:rFonts w:ascii="Arial" w:cs="Arial" w:eastAsia="Arial" w:hAnsi="Arial"/>
          <w:b/>
          <w:bCs/>
          <w:color w:val="1a202c"/>
          <w:sz w:val="28"/>
          <w:szCs w:val="28"/>
        </w:rPr>
        <w:t xml:space="preserve">6.2 The Distinguishing Rule</w:t>
      </w:r>
    </w:p>
    <w:p>
      <w:pPr>
        <w:spacing w:after="140"/>
        <w:jc w:val="both"/>
      </w:pPr>
      <w:r>
        <w:rPr>
          <w:rFonts w:ascii="Arial" w:cs="Arial" w:eastAsia="Arial" w:hAnsi="Arial"/>
          <w:color w:val="1a202c"/>
          <w:sz w:val="21"/>
          <w:szCs w:val="21"/>
        </w:rPr>
        <w:t xml:space="preserve">What belongs in the durable layer and what belongs in the transient layer? The distinguishing question 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0"/>
              <w:left w:val="single" w:color="1e40af" w:sz="10"/>
              <w:bottom w:val="single" w:color="1e40af" w:sz="10"/>
              <w:right w:val="single" w:color="1e40af" w:sz="10"/>
            </w:tcBorders>
            <w:shd w:fill="dbeafe" w:val="clear"/>
            <w:tcMar>
              <w:top w:type="dxa" w:w="180"/>
              <w:left w:type="dxa" w:w="220"/>
              <w:bottom w:type="dxa" w:w="180"/>
              <w:right w:type="dxa" w:w="220"/>
            </w:tcMar>
          </w:tcPr>
          <w:p>
            <w:pPr>
              <w:spacing w:after="100"/>
            </w:pPr>
            <w:r>
              <w:rPr>
                <w:rFonts w:ascii="Arial" w:cs="Arial" w:eastAsia="Arial" w:hAnsi="Arial"/>
                <w:b/>
                <w:bCs/>
                <w:color w:val="1e40af"/>
                <w:sz w:val="23"/>
                <w:szCs w:val="23"/>
              </w:rPr>
              <w:t xml:space="preserve">The Seal Test</w:t>
            </w:r>
          </w:p>
          <w:p>
            <w:pPr>
              <w:spacing w:after="70"/>
            </w:pPr>
            <w:r>
              <w:rPr>
                <w:rFonts w:ascii="Arial" w:cs="Arial" w:eastAsia="Arial" w:hAnsi="Arial"/>
                <w:color w:val="1a202c"/>
                <w:sz w:val="21"/>
                <w:szCs w:val="21"/>
              </w:rPr>
              <w:t xml:space="preserve">If this element changes, does the system become a different system?</w:t>
            </w:r>
          </w:p>
          <w:p>
            <w:pPr>
              <w:spacing w:after="70"/>
            </w:pPr>
            <w:r>
              <w:rPr>
                <w:rFonts w:ascii="Arial" w:cs="Arial" w:eastAsia="Arial" w:hAnsi="Arial"/>
                <w:color w:val="1a202c"/>
                <w:sz w:val="21"/>
                <w:szCs w:val="21"/>
              </w:rPr>
              <w:t xml:space="preserve">If yes → durable (sealed).</w:t>
            </w:r>
          </w:p>
          <w:p>
            <w:pPr>
              <w:spacing w:after="70"/>
            </w:pPr>
            <w:r>
              <w:rPr>
                <w:rFonts w:ascii="Arial" w:cs="Arial" w:eastAsia="Arial" w:hAnsi="Arial"/>
                <w:color w:val="1a202c"/>
                <w:sz w:val="21"/>
                <w:szCs w:val="21"/>
              </w:rPr>
              <w:t xml:space="preserve">If no → transient.</w:t>
            </w:r>
          </w:p>
          <w:p>
            <w:pPr>
              <w:spacing w:after="70"/>
            </w:pPr>
            <w:r>
              <w:rPr>
                <w:rFonts w:ascii="Arial" w:cs="Arial" w:eastAsia="Arial" w:hAnsi="Arial"/>
                <w:color w:val="1a202c"/>
                <w:sz w:val="21"/>
                <w:szCs w:val="21"/>
              </w:rPr>
              <w:t xml:space="preserve"/>
            </w:r>
          </w:p>
          <w:p>
            <w:pPr>
              <w:spacing w:after="70"/>
            </w:pPr>
            <w:r>
              <w:rPr>
                <w:rFonts w:ascii="Arial" w:cs="Arial" w:eastAsia="Arial" w:hAnsi="Arial"/>
                <w:color w:val="1a202c"/>
                <w:sz w:val="21"/>
                <w:szCs w:val="21"/>
              </w:rPr>
              <w:t xml:space="preserve">If the question cannot be answered cleanly, the element is a candidate for decomposition until the parts can each be answered cleanly.</w:t>
            </w:r>
          </w:p>
        </w:tc>
      </w:tr>
    </w:tbl>
    <w:p>
      <w:pPr>
        <w:spacing w:after="140"/>
        <w:jc w:val="both"/>
      </w:pPr>
      <w:r>
        <w:rPr>
          <w:rFonts w:ascii="Arial" w:cs="Arial" w:eastAsia="Arial" w:hAnsi="Arial"/>
          <w:color w:val="1a202c"/>
          <w:sz w:val="21"/>
          <w:szCs w:val="21"/>
        </w:rPr>
        <w:t xml:space="preserve">Applied to a banking system: the definition of an Account is durable (the system would not be the same banking system if Account meant something fundamentally different). The specific query that returns recent transactions is transient (the system is the same banking system whether the query is written in SQL, a stored procedure, or a GraphQL resolver). The invariant that a transaction must be atomic is durable. The specific transaction isolation level is transient.</w:t>
      </w:r>
    </w:p>
    <w:p>
      <w:pPr>
        <w:spacing w:after="140"/>
        <w:jc w:val="both"/>
      </w:pPr>
      <w:r>
        <w:rPr>
          <w:rFonts w:ascii="Arial" w:cs="Arial" w:eastAsia="Arial" w:hAnsi="Arial"/>
          <w:color w:val="1a202c"/>
          <w:sz w:val="21"/>
          <w:szCs w:val="21"/>
        </w:rPr>
        <w:t xml:space="preserve">Applied to a healthcare records system: the Patient identity model is durable. The database engine storing Patient records is transient. The clinical-safety invariant that certain records must be immutably logged is durable. The specific audit log format is transient.</w:t>
      </w:r>
    </w:p>
    <w:p>
      <w:pPr>
        <w:pStyle w:val="Heading2"/>
        <w:spacing w:after="100" w:before="320"/>
      </w:pPr>
      <w:r>
        <w:rPr>
          <w:rFonts w:ascii="Arial" w:cs="Arial" w:eastAsia="Arial" w:hAnsi="Arial"/>
          <w:b/>
          <w:bCs/>
          <w:color w:val="1a202c"/>
          <w:sz w:val="28"/>
          <w:szCs w:val="28"/>
        </w:rPr>
        <w:t xml:space="preserve">6.3 The Consequence</w:t>
      </w:r>
    </w:p>
    <w:p>
      <w:pPr>
        <w:spacing w:after="140"/>
        <w:jc w:val="both"/>
      </w:pPr>
      <w:r>
        <w:rPr>
          <w:rFonts w:ascii="Arial" w:cs="Arial" w:eastAsia="Arial" w:hAnsi="Arial"/>
          <w:color w:val="1a202c"/>
          <w:sz w:val="21"/>
          <w:szCs w:val="21"/>
        </w:rPr>
        <w:t xml:space="preserve">This distinction, made explicit and enforced, is what makes a system capable of long life. When technology changes, only the transient layer is affected. When teams change, the durable layer serves as the artefact the new team inherits — small, comprehensible, and explicitly documented. When ownership changes, the durable contracts are the portable portion that survives the transition. When purpose changes, the durable layer either still holds (and the transient is rebuilt to serve the new purpose) or the durable layer itself is retired through formal ceremony (triggering a new major version).</w:t>
      </w:r>
    </w:p>
    <w:p>
      <w:pPr>
        <w:spacing w:after="140"/>
        <w:jc w:val="both"/>
      </w:pPr>
      <w:r>
        <w:rPr>
          <w:rFonts w:ascii="Arial" w:cs="Arial" w:eastAsia="Arial" w:hAnsi="Arial"/>
          <w:color w:val="1a202c"/>
          <w:sz w:val="21"/>
          <w:szCs w:val="21"/>
        </w:rPr>
        <w:t xml:space="preserve">This is why SEA starts with a philosophical distinction rather than a technical mechanism. The mechanism (contracts, formats, governance) makes no sense without the distinction. Teams that attempt to implement the mechanism without internalising the distinction produce sealed-looking systems that are sealed in the wrong places — locking down the transient while leaving the durable exposed. The result is worse than having no sealed architecture at all.</w:t>
      </w:r>
    </w:p>
    <w:p>
      <w:r>
        <w:br w:type="page"/>
      </w:r>
    </w:p>
    <w:p>
      <w:pPr>
        <w:pStyle w:val="Heading1"/>
        <w:spacing w:after="160" w:before="480"/>
      </w:pPr>
      <w:r>
        <w:rPr>
          <w:rFonts w:ascii="Arial" w:cs="Arial" w:eastAsia="Arial" w:hAnsi="Arial"/>
          <w:b/>
          <w:bCs/>
          <w:color w:val="002b4d"/>
          <w:sz w:val="38"/>
          <w:szCs w:val="38"/>
        </w:rPr>
        <w:t xml:space="preserve">7. The Seven Principles of SEA</w:t>
      </w:r>
    </w:p>
    <w:p>
      <w:pPr>
        <w:spacing w:after="140"/>
        <w:jc w:val="both"/>
      </w:pPr>
      <w:r>
        <w:rPr>
          <w:rFonts w:ascii="Arial" w:cs="Arial" w:eastAsia="Arial" w:hAnsi="Arial"/>
          <w:color w:val="1a202c"/>
          <w:sz w:val="21"/>
          <w:szCs w:val="21"/>
        </w:rPr>
        <w:t xml:space="preserve">The seven principles that follow are axioms. They are derived from the core insight in Section 6, and everything in Parts III and IV (architecture and adoption) rests on them. They are numbered for reference, not ordered by importance — all seven must hold for a system to be SEA-governed.</w:t>
      </w:r>
    </w:p>
    <w:p>
      <w:pPr>
        <w:pStyle w:val="Heading2"/>
        <w:spacing w:after="100" w:before="320"/>
      </w:pPr>
      <w:r>
        <w:rPr>
          <w:rFonts w:ascii="Arial" w:cs="Arial" w:eastAsia="Arial" w:hAnsi="Arial"/>
          <w:b/>
          <w:bCs/>
          <w:color w:val="1a202c"/>
          <w:sz w:val="28"/>
          <w:szCs w:val="28"/>
        </w:rPr>
        <w:t xml:space="preserve">Principle 1 — Contracts are durable; implementations are transient</w:t>
      </w:r>
    </w:p>
    <w:p>
      <w:pPr>
        <w:spacing w:after="140"/>
        <w:jc w:val="both"/>
      </w:pPr>
      <w:r>
        <w:rPr>
          <w:rFonts w:ascii="Arial" w:cs="Arial" w:eastAsia="Arial" w:hAnsi="Arial"/>
          <w:color w:val="1a202c"/>
          <w:sz w:val="21"/>
          <w:szCs w:val="21"/>
        </w:rPr>
        <w:t xml:space="preserve">A contract is a formal declaration of what a component does, expressed independently of how it does it. An implementation is the specific code that fulfils a contract. In SEA, contracts are sealed: they cannot change once committed. Implementations are free to change as often as needed — new language, new framework, new optimisation, new algorithm, new AI-assisted rewrite.</w:t>
      </w:r>
    </w:p>
    <w:p>
      <w:pPr>
        <w:spacing w:after="140"/>
        <w:jc w:val="both"/>
      </w:pPr>
      <w:r>
        <w:rPr>
          <w:rFonts w:ascii="Arial" w:cs="Arial" w:eastAsia="Arial" w:hAnsi="Arial"/>
          <w:color w:val="1a202c"/>
          <w:sz w:val="21"/>
          <w:szCs w:val="21"/>
        </w:rPr>
        <w:t xml:space="preserve">This principle sounds simple but has a sharp consequence: a contract is a separate artefact from the code that implements it. It lives in its own file, under its own governance, and must be expressed in a form that does not depend on the implementation's language, framework, or runtime. A Java interface is not a SEA contract. A YAML specification that the Java interface implements is.</w:t>
      </w:r>
    </w:p>
    <w:p>
      <w:pPr>
        <w:pStyle w:val="Heading2"/>
        <w:spacing w:after="100" w:before="320"/>
      </w:pPr>
      <w:r>
        <w:rPr>
          <w:rFonts w:ascii="Arial" w:cs="Arial" w:eastAsia="Arial" w:hAnsi="Arial"/>
          <w:b/>
          <w:bCs/>
          <w:color w:val="1a202c"/>
          <w:sz w:val="28"/>
          <w:szCs w:val="28"/>
        </w:rPr>
        <w:t xml:space="preserve">Principle 2 — Intent is captured, not just behaviour</w:t>
      </w:r>
    </w:p>
    <w:p>
      <w:pPr>
        <w:spacing w:after="140"/>
        <w:jc w:val="both"/>
      </w:pPr>
      <w:r>
        <w:rPr>
          <w:rFonts w:ascii="Arial" w:cs="Arial" w:eastAsia="Arial" w:hAnsi="Arial"/>
          <w:color w:val="1a202c"/>
          <w:sz w:val="21"/>
          <w:szCs w:val="21"/>
        </w:rPr>
        <w:t xml:space="preserve">A contract describes what a component does. The intent document attached to the contract describes why. Not why-in-a-code-comment, but why in a structured, durable form: what invariants must never be violated, what alternatives were considered and rejected, what failure modes the design is protecting against.</w:t>
      </w:r>
    </w:p>
    <w:p>
      <w:pPr>
        <w:spacing w:after="140"/>
        <w:jc w:val="both"/>
      </w:pPr>
      <w:r>
        <w:rPr>
          <w:rFonts w:ascii="Arial" w:cs="Arial" w:eastAsia="Arial" w:hAnsi="Arial"/>
          <w:color w:val="1a202c"/>
          <w:sz w:val="21"/>
          <w:szCs w:val="21"/>
        </w:rPr>
        <w:t xml:space="preserve">When a future engineer — or future AI model — needs to decide whether some modification is safe, the intent document tells them. Without it, they can only guess. Most software decays not because code is lost but because the reasons for the code are lost. SEA makes intent-capture a first-class practice, not an optional documentation task.</w:t>
      </w:r>
    </w:p>
    <w:p>
      <w:pPr>
        <w:pStyle w:val="Heading2"/>
        <w:spacing w:after="100" w:before="320"/>
      </w:pPr>
      <w:r>
        <w:rPr>
          <w:rFonts w:ascii="Arial" w:cs="Arial" w:eastAsia="Arial" w:hAnsi="Arial"/>
          <w:b/>
          <w:bCs/>
          <w:color w:val="1a202c"/>
          <w:sz w:val="28"/>
          <w:szCs w:val="28"/>
        </w:rPr>
        <w:t xml:space="preserve">Principle 3 — Succession is designed, not assumed</w:t>
      </w:r>
    </w:p>
    <w:p>
      <w:pPr>
        <w:spacing w:after="140"/>
        <w:jc w:val="both"/>
      </w:pPr>
      <w:r>
        <w:rPr>
          <w:rFonts w:ascii="Arial" w:cs="Arial" w:eastAsia="Arial" w:hAnsi="Arial"/>
          <w:color w:val="1a202c"/>
          <w:sz w:val="21"/>
          <w:szCs w:val="21"/>
        </w:rPr>
        <w:t xml:space="preserve">Every sealed contract has a formally designated Owner. When the Owner leaves, the succession is formal — a named replacement, a handover ceremony, a period of shadow ownership. The same applies at higher levels: Sealed Review Board membership has formal succession; overall architectural authority has formal succession.</w:t>
      </w:r>
    </w:p>
    <w:p>
      <w:pPr>
        <w:spacing w:after="140"/>
        <w:jc w:val="both"/>
      </w:pPr>
      <w:r>
        <w:rPr>
          <w:rFonts w:ascii="Arial" w:cs="Arial" w:eastAsia="Arial" w:hAnsi="Arial"/>
          <w:color w:val="1a202c"/>
          <w:sz w:val="21"/>
          <w:szCs w:val="21"/>
        </w:rPr>
        <w:t xml:space="preserve">Most organisations currently assume succession happens naturally. It does not. When lead architects leave, their implicit authority dissipates; the next de facto authority-holder emerges from political dynamics rather than design. SEA makes this explicit so that authority transfers are clean, traceable, and resistant to political drift.</w:t>
      </w:r>
    </w:p>
    <w:p>
      <w:pPr>
        <w:pStyle w:val="Heading2"/>
        <w:spacing w:after="100" w:before="320"/>
      </w:pPr>
      <w:r>
        <w:rPr>
          <w:rFonts w:ascii="Arial" w:cs="Arial" w:eastAsia="Arial" w:hAnsi="Arial"/>
          <w:b/>
          <w:bCs/>
          <w:color w:val="1a202c"/>
          <w:sz w:val="28"/>
          <w:szCs w:val="28"/>
        </w:rPr>
        <w:t xml:space="preserve">Principle 4 — Change is graduated, not binary</w:t>
      </w:r>
    </w:p>
    <w:p>
      <w:pPr>
        <w:spacing w:after="140"/>
        <w:jc w:val="both"/>
      </w:pPr>
      <w:r>
        <w:rPr>
          <w:rFonts w:ascii="Arial" w:cs="Arial" w:eastAsia="Arial" w:hAnsi="Arial"/>
          <w:color w:val="1a202c"/>
          <w:sz w:val="21"/>
          <w:szCs w:val="21"/>
        </w:rPr>
        <w:t xml:space="preserve">Changes to a SEA-governed system are not simply 'in' or 'out' of the codebase. They move through a pipeline of explicit stages: proposed, reviewed, experimentally implemented, parallel-live, migrated, and finally either fully adopted or formally retired. Each stage has its own gate, owner, and verification.</w:t>
      </w:r>
    </w:p>
    <w:p>
      <w:pPr>
        <w:spacing w:after="140"/>
        <w:jc w:val="both"/>
      </w:pPr>
      <w:r>
        <w:rPr>
          <w:rFonts w:ascii="Arial" w:cs="Arial" w:eastAsia="Arial" w:hAnsi="Arial"/>
          <w:color w:val="1a202c"/>
          <w:sz w:val="21"/>
          <w:szCs w:val="21"/>
        </w:rPr>
        <w:t xml:space="preserve">This principle forbids the shortcut of 'just merge it and see what happens,' which is how most systems accumulate debt. It also provides for safe experimentation: a new approach can be proposed, tried alongside the existing approach, and either adopted or discarded without either rushed commitment or silent abandonment.</w:t>
      </w:r>
    </w:p>
    <w:p>
      <w:pPr>
        <w:pStyle w:val="Heading2"/>
        <w:spacing w:after="100" w:before="320"/>
      </w:pPr>
      <w:r>
        <w:rPr>
          <w:rFonts w:ascii="Arial" w:cs="Arial" w:eastAsia="Arial" w:hAnsi="Arial"/>
          <w:b/>
          <w:bCs/>
          <w:color w:val="1a202c"/>
          <w:sz w:val="28"/>
          <w:szCs w:val="28"/>
        </w:rPr>
        <w:t xml:space="preserve">Principle 5 — Purpose-change has its own protocol</w:t>
      </w:r>
    </w:p>
    <w:p>
      <w:pPr>
        <w:spacing w:after="140"/>
        <w:jc w:val="both"/>
      </w:pPr>
      <w:r>
        <w:rPr>
          <w:rFonts w:ascii="Arial" w:cs="Arial" w:eastAsia="Arial" w:hAnsi="Arial"/>
          <w:color w:val="1a202c"/>
          <w:sz w:val="21"/>
          <w:szCs w:val="21"/>
        </w:rPr>
        <w:t xml:space="preserve">When the business, regulatory, or user purpose of a system changes materially — not a feature addition, but a genuine shift in what the system is for — this is treated as a distinct and formal event, not a series of small changes that happen to add up to a transformation.</w:t>
      </w:r>
    </w:p>
    <w:p>
      <w:pPr>
        <w:spacing w:after="140"/>
        <w:jc w:val="both"/>
      </w:pPr>
      <w:r>
        <w:rPr>
          <w:rFonts w:ascii="Arial" w:cs="Arial" w:eastAsia="Arial" w:hAnsi="Arial"/>
          <w:color w:val="1a202c"/>
          <w:sz w:val="21"/>
          <w:szCs w:val="21"/>
        </w:rPr>
        <w:t xml:space="preserve">Such events trigger a Major Version Bump protocol: the current sealed contracts are marked as candidates for retirement, a new set of contracts is designed to serve the new purpose, both sets operate in parallel during a transition period, and consumers migrate on their own cadence until the old contracts can be formally retired with ceremony.</w:t>
      </w:r>
    </w:p>
    <w:p>
      <w:pPr>
        <w:spacing w:after="140"/>
        <w:jc w:val="both"/>
      </w:pPr>
      <w:r>
        <w:rPr>
          <w:rFonts w:ascii="Arial" w:cs="Arial" w:eastAsia="Arial" w:hAnsi="Arial"/>
          <w:color w:val="1a202c"/>
          <w:sz w:val="21"/>
          <w:szCs w:val="21"/>
        </w:rPr>
        <w:t xml:space="preserve">This is how bridges get replaced: not by demolishing the old one, but by building a new one alongside, diverting traffic gradually, and decommissioning the old with appropriate formality once it is empty.</w:t>
      </w:r>
    </w:p>
    <w:p>
      <w:pPr>
        <w:pStyle w:val="Heading2"/>
        <w:spacing w:after="100" w:before="320"/>
      </w:pPr>
      <w:r>
        <w:rPr>
          <w:rFonts w:ascii="Arial" w:cs="Arial" w:eastAsia="Arial" w:hAnsi="Arial"/>
          <w:b/>
          <w:bCs/>
          <w:color w:val="1a202c"/>
          <w:sz w:val="28"/>
          <w:szCs w:val="28"/>
        </w:rPr>
        <w:t xml:space="preserve">Principle 6 — Portability is a first-class property</w:t>
      </w:r>
    </w:p>
    <w:p>
      <w:pPr>
        <w:spacing w:after="140"/>
        <w:jc w:val="both"/>
      </w:pPr>
      <w:r>
        <w:rPr>
          <w:rFonts w:ascii="Arial" w:cs="Arial" w:eastAsia="Arial" w:hAnsi="Arial"/>
          <w:color w:val="1a202c"/>
          <w:sz w:val="21"/>
          <w:szCs w:val="21"/>
        </w:rPr>
        <w:t xml:space="preserve">Every durable artefact in a SEA system — contracts, intent documents, decision records, governance protocols — is expressed in a form that can be moved between organisations, repositories, and technology stacks without loss of meaning. YAML and JSON are preferred. Markdown is acceptable. Language-specific artefacts (Java interfaces, Python protocols) are not durable; they are transient implementations of durable specifications.</w:t>
      </w:r>
    </w:p>
    <w:p>
      <w:pPr>
        <w:spacing w:after="140"/>
        <w:jc w:val="both"/>
      </w:pPr>
      <w:r>
        <w:rPr>
          <w:rFonts w:ascii="Arial" w:cs="Arial" w:eastAsia="Arial" w:hAnsi="Arial"/>
          <w:color w:val="1a202c"/>
          <w:sz w:val="21"/>
          <w:szCs w:val="21"/>
        </w:rPr>
        <w:t xml:space="preserve">Portability enables two important properties. First, when ownership transfers (company acquisition, divestiture, vendor change), the durable layer transfers intact. Second, when AI tooling changes (new model, new assistant, new IDE), the durable artefacts remain readable by whatever tooling replaces the current set.</w:t>
      </w:r>
    </w:p>
    <w:p>
      <w:pPr>
        <w:pStyle w:val="Heading2"/>
        <w:spacing w:after="100" w:before="320"/>
      </w:pPr>
      <w:r>
        <w:rPr>
          <w:rFonts w:ascii="Arial" w:cs="Arial" w:eastAsia="Arial" w:hAnsi="Arial"/>
          <w:b/>
          <w:bCs/>
          <w:color w:val="1a202c"/>
          <w:sz w:val="28"/>
          <w:szCs w:val="28"/>
        </w:rPr>
        <w:t xml:space="preserve">Principle 7 — AI-readability is structural</w:t>
      </w:r>
    </w:p>
    <w:p>
      <w:pPr>
        <w:spacing w:after="140"/>
        <w:jc w:val="both"/>
      </w:pPr>
      <w:r>
        <w:rPr>
          <w:rFonts w:ascii="Arial" w:cs="Arial" w:eastAsia="Arial" w:hAnsi="Arial"/>
          <w:color w:val="1a202c"/>
          <w:sz w:val="21"/>
          <w:szCs w:val="21"/>
        </w:rPr>
        <w:t xml:space="preserve">Every durable artefact is structured for consumption by AI models, not only by humans. This does not mean the artefacts are 'AI-generated' — quite the opposite. It means they follow a format that is parseable by AI models of sufficient capability, with explicit sections that AI tools can reliably locate (intent, invariants, extension policy, rejected alternatives).</w:t>
      </w:r>
    </w:p>
    <w:p>
      <w:pPr>
        <w:spacing w:after="140"/>
        <w:jc w:val="both"/>
      </w:pPr>
      <w:r>
        <w:rPr>
          <w:rFonts w:ascii="Arial" w:cs="Arial" w:eastAsia="Arial" w:hAnsi="Arial"/>
          <w:color w:val="1a202c"/>
          <w:sz w:val="21"/>
          <w:szCs w:val="21"/>
        </w:rPr>
        <w:t xml:space="preserve">This is a new principle for 2026. It recognises that the long-term reader of architectural artefacts will increasingly be an AI assistant helping a human understand the system. When the AI can reliably parse the intent of a sealed contract, it becomes a successor mechanism that scales beyond individual human memory. When it cannot, the system's institutional memory is still captive to human turnover.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10"/>
              <w:left w:val="single" w:color="002b4d" w:sz="10"/>
              <w:bottom w:val="single" w:color="002b4d" w:sz="10"/>
              <w:right w:val="single" w:color="002b4d" w:sz="10"/>
            </w:tcBorders>
            <w:shd w:fill="e7eef5" w:val="clear"/>
            <w:tcMar>
              <w:top w:type="dxa" w:w="180"/>
              <w:left w:type="dxa" w:w="220"/>
              <w:bottom w:type="dxa" w:w="180"/>
              <w:right w:type="dxa" w:w="220"/>
            </w:tcMar>
          </w:tcPr>
          <w:p>
            <w:pPr>
              <w:spacing w:after="100"/>
            </w:pPr>
            <w:r>
              <w:rPr>
                <w:rFonts w:ascii="Arial" w:cs="Arial" w:eastAsia="Arial" w:hAnsi="Arial"/>
                <w:b/>
                <w:bCs/>
                <w:color w:val="002b4d"/>
                <w:sz w:val="23"/>
                <w:szCs w:val="23"/>
              </w:rPr>
              <w:t xml:space="preserve">The seven principles as a unit</w:t>
            </w:r>
          </w:p>
          <w:p>
            <w:pPr>
              <w:spacing w:after="70"/>
            </w:pPr>
            <w:r>
              <w:rPr>
                <w:rFonts w:ascii="Arial" w:cs="Arial" w:eastAsia="Arial" w:hAnsi="Arial"/>
                <w:color w:val="1a202c"/>
                <w:sz w:val="21"/>
                <w:szCs w:val="21"/>
              </w:rPr>
              <w:t xml:space="preserve">None of the seven principles can be adopted in isolation. Contracts without intent are inscrutable; intent without succession becomes orphaned; succession without portability cannot survive organisational change; portability without AI-readability loses its future-proofing.</w:t>
            </w:r>
          </w:p>
          <w:p>
            <w:pPr>
              <w:spacing w:after="70"/>
            </w:pPr>
            <w:r>
              <w:rPr>
                <w:rFonts w:ascii="Arial" w:cs="Arial" w:eastAsia="Arial" w:hAnsi="Arial"/>
                <w:color w:val="1a202c"/>
                <w:sz w:val="21"/>
                <w:szCs w:val="21"/>
              </w:rPr>
              <w:t xml:space="preserve">Architectures that adopt only some of the principles produce systems that look sealed but fail in specific ways — the gaps in coverage become the points of failure.</w:t>
            </w:r>
          </w:p>
          <w:p>
            <w:pPr>
              <w:spacing w:after="70"/>
            </w:pPr>
            <w:r>
              <w:rPr>
                <w:rFonts w:ascii="Arial" w:cs="Arial" w:eastAsia="Arial" w:hAnsi="Arial"/>
                <w:color w:val="1a202c"/>
                <w:sz w:val="21"/>
                <w:szCs w:val="21"/>
              </w:rPr>
              <w:t xml:space="preserve">SEA requires all seven, or it does not provide its guarantees.</w:t>
            </w:r>
          </w:p>
        </w:tc>
      </w:tr>
    </w:tbl>
    <w:p>
      <w:r>
        <w:br w:type="page"/>
      </w:r>
    </w:p>
    <w:p>
      <w:pPr>
        <w:pStyle w:val="Heading1"/>
        <w:spacing w:after="160" w:before="480"/>
      </w:pPr>
      <w:r>
        <w:rPr>
          <w:rFonts w:ascii="Arial" w:cs="Arial" w:eastAsia="Arial" w:hAnsi="Arial"/>
          <w:b/>
          <w:bCs/>
          <w:color w:val="002b4d"/>
          <w:sz w:val="38"/>
          <w:szCs w:val="38"/>
        </w:rPr>
        <w:t xml:space="preserve">8. The Bridge Analogy, Fully Developed</w:t>
      </w:r>
    </w:p>
    <w:p>
      <w:pPr>
        <w:spacing w:after="140"/>
        <w:jc w:val="both"/>
      </w:pPr>
      <w:r>
        <w:rPr>
          <w:rFonts w:ascii="Arial" w:cs="Arial" w:eastAsia="Arial" w:hAnsi="Arial"/>
          <w:color w:val="1a202c"/>
          <w:sz w:val="21"/>
          <w:szCs w:val="21"/>
        </w:rPr>
        <w:t xml:space="preserve">The bridge analogy introduced in Section 1 has served as the intuition pump for this whitepaper. This section develops it fully, because the analogy is not just a rhetorical device — it is a working correspondence between civil engineering's accumulated discipline and the architectural discipline software engineering must develop.</w:t>
      </w:r>
    </w:p>
    <w:p>
      <w:pPr>
        <w:pStyle w:val="Heading2"/>
        <w:spacing w:after="100" w:before="320"/>
      </w:pPr>
      <w:r>
        <w:rPr>
          <w:rFonts w:ascii="Arial" w:cs="Arial" w:eastAsia="Arial" w:hAnsi="Arial"/>
          <w:b/>
          <w:bCs/>
          <w:color w:val="1a202c"/>
          <w:sz w:val="28"/>
          <w:szCs w:val="28"/>
        </w:rPr>
        <w:t xml:space="preserve">8.1 The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Bridge element</w:t>
            </w:r>
          </w:p>
        </w:tc>
        <w:tc>
          <w:tcPr>
            <w:tcW w:type="dxa" w:w="3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SEA equivalent</w:t>
            </w:r>
          </w:p>
        </w:tc>
        <w:tc>
          <w:tcPr>
            <w:tcW w:type="dxa" w:w="39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Characteristics they share</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Foundations</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Core data model &amp; identity contracts</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Never moved. If foundations shift, the whole structure is at risk. Replaced only by building a new bridge.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Pillars</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Sealed interfaces &amp; invariants</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Cannot be modified once cast. Load-bearing. New capacity is added by new pillars alongside, not by reinforcing existing ones.</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Span (roadway structure)</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Core business logic contracts</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Bridges foundations to usage. Replaceable on maintenance cycles. Each span replacement is a planned, governed event.</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Road surface</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Transient implementation layer</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Replaced frequently. Technology (asphalt, composite, concrete) changes without affecting structure.</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Signage and markings</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Configuration, feature flags, UX</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Easily changed. Expected to change. No ceremony required.</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Inspection regime</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Governance protocol (quarterly review)</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Formal, scheduled, documented. Catches decay before it becomes failure.</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Maintenance manual</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contract + intent document</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Travels with the structure. Survives the departure of its authors.</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Major refurbishment</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Extension via new sealed contracts</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Preserves the original structure. Adds capacity or capability alongside.</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Decommissioning</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Major version bump + retirement ceremony</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Formal, planned, with continuity of service until the new structure takes over.</w:t>
            </w:r>
          </w:p>
        </w:tc>
      </w:tr>
    </w:tbl>
    <w:p>
      <w:pPr>
        <w:pStyle w:val="Heading2"/>
        <w:spacing w:after="100" w:before="320"/>
      </w:pPr>
      <w:r>
        <w:rPr>
          <w:rFonts w:ascii="Arial" w:cs="Arial" w:eastAsia="Arial" w:hAnsi="Arial"/>
          <w:b/>
          <w:bCs/>
          <w:color w:val="1a202c"/>
          <w:sz w:val="28"/>
          <w:szCs w:val="28"/>
        </w:rPr>
        <w:t xml:space="preserve">8.2 What the Analogy Illuminates</w:t>
      </w:r>
    </w:p>
    <w:p>
      <w:pPr>
        <w:spacing w:after="140"/>
        <w:jc w:val="both"/>
      </w:pPr>
      <w:r>
        <w:rPr>
          <w:rFonts w:ascii="Arial" w:cs="Arial" w:eastAsia="Arial" w:hAnsi="Arial"/>
          <w:color w:val="1a202c"/>
          <w:sz w:val="21"/>
          <w:szCs w:val="21"/>
        </w:rPr>
        <w:t xml:space="preserve">Using the analogy explicitly does three things for an architectural conversation:</w:t>
      </w:r>
    </w:p>
    <w:p>
      <w:pPr>
        <w:pStyle w:val="ListParagraph"/>
        <w:numPr>
          <w:ilvl w:val="0"/>
          <w:numId w:val="2"/>
        </w:numPr>
        <w:spacing w:after="70"/>
      </w:pPr>
      <w:r>
        <w:rPr>
          <w:rFonts w:ascii="Arial" w:cs="Arial" w:eastAsia="Arial" w:hAnsi="Arial"/>
          <w:color w:val="1a202c"/>
          <w:sz w:val="21"/>
          <w:szCs w:val="21"/>
        </w:rPr>
        <w:t xml:space="preserve">It provides intuition to non-technical stakeholders. A board member who cannot assess whether a microservices architecture is appropriate can intuitively grasp that 'we are engineering the pillars first, before debating the road surface.'</w:t>
      </w:r>
    </w:p>
    <w:p>
      <w:pPr>
        <w:pStyle w:val="ListParagraph"/>
        <w:numPr>
          <w:ilvl w:val="0"/>
          <w:numId w:val="2"/>
        </w:numPr>
        <w:spacing w:after="70"/>
      </w:pPr>
      <w:r>
        <w:rPr>
          <w:rFonts w:ascii="Arial" w:cs="Arial" w:eastAsia="Arial" w:hAnsi="Arial"/>
          <w:color w:val="1a202c"/>
          <w:sz w:val="21"/>
          <w:szCs w:val="21"/>
        </w:rPr>
        <w:t xml:space="preserve">It creates a shared vocabulary across roles. When an engineer says 'this is a pillar-level change,' everyone — product, operations, legal — understands the implication without needing to understand the code.</w:t>
      </w:r>
    </w:p>
    <w:p>
      <w:pPr>
        <w:pStyle w:val="ListParagraph"/>
        <w:numPr>
          <w:ilvl w:val="0"/>
          <w:numId w:val="2"/>
        </w:numPr>
        <w:spacing w:after="70"/>
      </w:pPr>
      <w:r>
        <w:rPr>
          <w:rFonts w:ascii="Arial" w:cs="Arial" w:eastAsia="Arial" w:hAnsi="Arial"/>
          <w:color w:val="1a202c"/>
          <w:sz w:val="21"/>
          <w:szCs w:val="21"/>
        </w:rPr>
        <w:t xml:space="preserve">It suggests the appropriate ceremony for different change types. Road-surface changes need no ceremony. Pillar-level changes need formal review. Foundation changes need the equivalent of an entire bridge replacement project.</w:t>
      </w:r>
    </w:p>
    <w:p>
      <w:pPr>
        <w:pStyle w:val="Heading2"/>
        <w:spacing w:after="100" w:before="320"/>
      </w:pPr>
      <w:r>
        <w:rPr>
          <w:rFonts w:ascii="Arial" w:cs="Arial" w:eastAsia="Arial" w:hAnsi="Arial"/>
          <w:b/>
          <w:bCs/>
          <w:color w:val="1a202c"/>
          <w:sz w:val="28"/>
          <w:szCs w:val="28"/>
        </w:rPr>
        <w:t xml:space="preserve">8.3 Where the Analogy Breaks Down</w:t>
      </w:r>
    </w:p>
    <w:p>
      <w:pPr>
        <w:spacing w:after="140"/>
        <w:jc w:val="both"/>
      </w:pPr>
      <w:r>
        <w:rPr>
          <w:rFonts w:ascii="Arial" w:cs="Arial" w:eastAsia="Arial" w:hAnsi="Arial"/>
          <w:color w:val="1a202c"/>
          <w:sz w:val="21"/>
          <w:szCs w:val="21"/>
        </w:rPr>
        <w:t xml:space="preserve">No analogy is perfect. The bridge analogy has three known limitations that are worth being honest about:</w:t>
      </w:r>
    </w:p>
    <w:p>
      <w:pPr>
        <w:pStyle w:val="Heading3"/>
        <w:spacing w:after="80" w:before="220"/>
      </w:pPr>
      <w:r>
        <w:rPr>
          <w:rFonts w:ascii="Arial" w:cs="Arial" w:eastAsia="Arial" w:hAnsi="Arial"/>
          <w:b/>
          <w:bCs/>
          <w:color w:val="004271"/>
          <w:sz w:val="23"/>
          <w:szCs w:val="23"/>
        </w:rPr>
        <w:t xml:space="preserve">Limit 1 — Software changes faster than civil engineering</w:t>
      </w:r>
    </w:p>
    <w:p>
      <w:pPr>
        <w:spacing w:after="140"/>
        <w:jc w:val="both"/>
      </w:pPr>
      <w:r>
        <w:rPr>
          <w:rFonts w:ascii="Arial" w:cs="Arial" w:eastAsia="Arial" w:hAnsi="Arial"/>
          <w:color w:val="1a202c"/>
          <w:sz w:val="21"/>
          <w:szCs w:val="21"/>
        </w:rPr>
        <w:t xml:space="preserve">A bridge pillar might be in service for a century. A software sealed contract might be in service for a decade. The cadence of change is different, and SEA's governance protocols are adjusted accordingly (quarterly review rather than annual inspection). The analogy holds structurally but not in cadence.</w:t>
      </w:r>
    </w:p>
    <w:p>
      <w:pPr>
        <w:pStyle w:val="Heading3"/>
        <w:spacing w:after="80" w:before="220"/>
      </w:pPr>
      <w:r>
        <w:rPr>
          <w:rFonts w:ascii="Arial" w:cs="Arial" w:eastAsia="Arial" w:hAnsi="Arial"/>
          <w:b/>
          <w:bCs/>
          <w:color w:val="004271"/>
          <w:sz w:val="23"/>
          <w:szCs w:val="23"/>
        </w:rPr>
        <w:t xml:space="preserve">Limit 2 — Software has no physical constraint</w:t>
      </w:r>
    </w:p>
    <w:p>
      <w:pPr>
        <w:spacing w:after="140"/>
        <w:jc w:val="both"/>
      </w:pPr>
      <w:r>
        <w:rPr>
          <w:rFonts w:ascii="Arial" w:cs="Arial" w:eastAsia="Arial" w:hAnsi="Arial"/>
          <w:color w:val="1a202c"/>
          <w:sz w:val="21"/>
          <w:szCs w:val="21"/>
        </w:rPr>
        <w:t xml:space="preserve">A bridge pillar cannot be in two places at once. A software contract can be implemented in multiple places at once (microservices, polyrepo structures). SEA contracts handle this by being declarations rather than implementations — the contract is one thing; its instantiations may be many.</w:t>
      </w:r>
    </w:p>
    <w:p>
      <w:pPr>
        <w:pStyle w:val="Heading3"/>
        <w:spacing w:after="80" w:before="220"/>
      </w:pPr>
      <w:r>
        <w:rPr>
          <w:rFonts w:ascii="Arial" w:cs="Arial" w:eastAsia="Arial" w:hAnsi="Arial"/>
          <w:b/>
          <w:bCs/>
          <w:color w:val="004271"/>
          <w:sz w:val="23"/>
          <w:szCs w:val="23"/>
        </w:rPr>
        <w:t xml:space="preserve">Limit 3 — Software purpose changes more often than physical-structure purpose</w:t>
      </w:r>
    </w:p>
    <w:p>
      <w:pPr>
        <w:spacing w:after="140"/>
        <w:jc w:val="both"/>
      </w:pPr>
      <w:r>
        <w:rPr>
          <w:rFonts w:ascii="Arial" w:cs="Arial" w:eastAsia="Arial" w:hAnsi="Arial"/>
          <w:color w:val="1a202c"/>
          <w:sz w:val="21"/>
          <w:szCs w:val="21"/>
        </w:rPr>
        <w:t xml:space="preserve">Bridges are rarely repurposed fundamentally. Software systems are. SEA therefore gives more structure to the purpose-change protocol (Principle 5) than civil engineering needs. This is an extension, not a contradiction, of the analogy.</w:t>
      </w:r>
    </w:p>
    <w:p>
      <w:pPr>
        <w:pStyle w:val="Heading2"/>
        <w:spacing w:after="100" w:before="320"/>
      </w:pPr>
      <w:r>
        <w:rPr>
          <w:rFonts w:ascii="Arial" w:cs="Arial" w:eastAsia="Arial" w:hAnsi="Arial"/>
          <w:b/>
          <w:bCs/>
          <w:color w:val="1a202c"/>
          <w:sz w:val="28"/>
          <w:szCs w:val="28"/>
        </w:rPr>
        <w:t xml:space="preserve">8.4 The Analogy as a Test</w:t>
      </w:r>
    </w:p>
    <w:p>
      <w:pPr>
        <w:spacing w:after="140"/>
        <w:jc w:val="both"/>
      </w:pPr>
      <w:r>
        <w:rPr>
          <w:rFonts w:ascii="Arial" w:cs="Arial" w:eastAsia="Arial" w:hAnsi="Arial"/>
          <w:color w:val="1a202c"/>
          <w:sz w:val="21"/>
          <w:szCs w:val="21"/>
        </w:rPr>
        <w:t xml:space="preserve">A useful test for whether an architecture is truly sealed: ask of each significant element, 'what is this in the bridge?' If the answer comes clearly — 'this is a pillar,' 'this is the road surface,' 'this is the signage' — the architecture has successfully distinguished durable from transient. If the answer is fuzzy — 'well, it is sort of like a pillar but also a bit like the span' — the distinction has not been made properly, and the element is a candidate for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Whether you use the bridge analogy in your actual documentation is a matter of taste. Whether your architecture stands up to the test it provides is a matter of discipline.</w:t>
            </w:r>
          </w:p>
        </w:tc>
      </w:tr>
    </w:tbl>
    <w:p>
      <w:r>
        <w:br w:type="page"/>
      </w:r>
    </w:p>
    <w:p>
      <w:pPr>
        <w:spacing w:after="100" w:before="600"/>
        <w:jc w:val="center"/>
      </w:pPr>
      <w:r>
        <w:rPr>
          <w:rFonts w:ascii="Arial" w:cs="Arial" w:eastAsia="Arial" w:hAnsi="Arial"/>
          <w:b/>
          <w:bCs/>
          <w:color w:val="64748b"/>
          <w:sz w:val="24"/>
          <w:szCs w:val="24"/>
        </w:rPr>
        <w:t xml:space="preserve">PART III</w:t>
      </w:r>
    </w:p>
    <w:p>
      <w:pPr>
        <w:spacing w:after="400"/>
        <w:jc w:val="center"/>
      </w:pPr>
      <w:r>
        <w:rPr>
          <w:rFonts w:ascii="Arial" w:cs="Arial" w:eastAsia="Arial" w:hAnsi="Arial"/>
          <w:b/>
          <w:bCs/>
          <w:color w:val="002b4d"/>
          <w:sz w:val="56"/>
          <w:szCs w:val="56"/>
        </w:rPr>
        <w:t xml:space="preserve">The Architecture</w:t>
      </w:r>
    </w:p>
    <w:p>
      <w:pPr>
        <w:spacing w:after="200"/>
        <w:jc w:val="center"/>
      </w:pPr>
      <w:r>
        <w:rPr>
          <w:rFonts w:ascii="Arial" w:cs="Arial" w:eastAsia="Arial" w:hAnsi="Arial"/>
          <w:i/>
          <w:iCs/>
          <w:color w:val="1a202c"/>
          <w:sz w:val="24"/>
          <w:szCs w:val="24"/>
        </w:rPr>
        <w:t xml:space="preserve">Five layers, a reference contract format,
and the governance protocol that binds them.</w:t>
      </w:r>
    </w:p>
    <w:p>
      <w:r>
        <w:br w:type="page"/>
      </w:r>
    </w:p>
    <w:p>
      <w:pPr>
        <w:pStyle w:val="Heading1"/>
        <w:spacing w:after="160" w:before="480"/>
      </w:pPr>
      <w:r>
        <w:rPr>
          <w:rFonts w:ascii="Arial" w:cs="Arial" w:eastAsia="Arial" w:hAnsi="Arial"/>
          <w:b/>
          <w:bCs/>
          <w:color w:val="002b4d"/>
          <w:sz w:val="38"/>
          <w:szCs w:val="38"/>
        </w:rPr>
        <w:t xml:space="preserve">9. The Five Architectural Layers</w:t>
      </w:r>
    </w:p>
    <w:p>
      <w:pPr>
        <w:spacing w:after="140"/>
        <w:jc w:val="both"/>
      </w:pPr>
      <w:r>
        <w:rPr>
          <w:rFonts w:ascii="Arial" w:cs="Arial" w:eastAsia="Arial" w:hAnsi="Arial"/>
          <w:color w:val="1a202c"/>
          <w:sz w:val="21"/>
          <w:szCs w:val="21"/>
        </w:rPr>
        <w:t xml:space="preserve">Sealed Enterprise Architecture is organised in five layers. The layers are conceptual, not implementational — they do not correspond to deployable tiers or network boundaries. They describe the different kinds of artefact that together constitute the durable portion of a SEA-governed system, and how those artefacts relate to the transient implementation layer where most code lives.</w:t>
      </w:r>
    </w:p>
    <w:p>
      <w:pPr>
        <w:spacing w:after="140"/>
        <w:jc w:val="both"/>
      </w:pPr>
      <w:r>
        <w:rPr>
          <w:rFonts w:ascii="Arial" w:cs="Arial" w:eastAsia="Arial" w:hAnsi="Arial"/>
          <w:color w:val="1a202c"/>
          <w:sz w:val="21"/>
          <w:szCs w:val="21"/>
        </w:rPr>
        <w:t xml:space="preserve">The five layers are: Contract Definition, Intent Capture, Verification, Governance, and Evolution. Each has a distinct purpose, a distinct artefact format, a distinct authority, and a distinct change cadence. An organisation adopting SEA must implement all five — partial adoption produces partial protection.</w:t>
      </w:r>
    </w:p>
    <w:p>
      <w:pPr>
        <w:pStyle w:val="Heading2"/>
        <w:spacing w:after="100" w:before="320"/>
      </w:pPr>
      <w:r>
        <w:rPr>
          <w:rFonts w:ascii="Arial" w:cs="Arial" w:eastAsia="Arial" w:hAnsi="Arial"/>
          <w:b/>
          <w:bCs/>
          <w:color w:val="1a202c"/>
          <w:sz w:val="28"/>
          <w:szCs w:val="28"/>
        </w:rPr>
        <w:t xml:space="preserve">9.1 Overview of the Five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1600"/>
        <w:gridCol w:w="1760"/>
      </w:tblGrid>
      <w:tr>
        <w:trPr>
          <w:tblHeader/>
        </w:trPr>
        <w:tc>
          <w:tcPr>
            <w:tcW w:type="dxa" w:w="1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Layer</w:t>
            </w:r>
          </w:p>
        </w:tc>
        <w:tc>
          <w:tcPr>
            <w:tcW w:type="dxa" w:w="2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Purpose</w:t>
            </w:r>
          </w:p>
        </w:tc>
        <w:tc>
          <w:tcPr>
            <w:tcW w:type="dxa" w:w="20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Primary artefact</w:t>
            </w:r>
          </w:p>
        </w:tc>
        <w:tc>
          <w:tcPr>
            <w:tcW w:type="dxa" w:w="1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Who owns it</w:t>
            </w:r>
          </w:p>
        </w:tc>
        <w:tc>
          <w:tcPr>
            <w:tcW w:type="dxa" w:w="1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Change cadence</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 Contract Definition</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Declare what must persist</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contract (YAML)</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Owner</w:t>
            </w:r>
          </w:p>
        </w:tc>
        <w:tc>
          <w:tcPr>
            <w:tcW w:type="dxa" w:w="1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Only via extension; change requires ceremony</w:t>
            </w:r>
          </w:p>
        </w:tc>
      </w:tr>
      <w:tr>
        <w:tc>
          <w:tcPr>
            <w:tcW w:type="dxa" w:w="1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2. Intent Capture</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Capture why it must persist</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Intent document (Markdown)</w:t>
            </w:r>
          </w:p>
        </w:tc>
        <w:tc>
          <w:tcPr>
            <w:tcW w:type="dxa" w:w="1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Contract Owner</w:t>
            </w:r>
          </w:p>
        </w:tc>
        <w:tc>
          <w:tcPr>
            <w:tcW w:type="dxa" w:w="1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Append-only; history preserved</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3. Verification</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Prove implementation conforms to contract</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Verifier (per-stack)</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Platform team</w:t>
            </w:r>
          </w:p>
        </w:tc>
        <w:tc>
          <w:tcPr>
            <w:tcW w:type="dxa" w:w="1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Per-stack updates; contract itself unchanged</w:t>
            </w:r>
          </w:p>
        </w:tc>
      </w:tr>
      <w:tr>
        <w:tc>
          <w:tcPr>
            <w:tcW w:type="dxa" w:w="1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4. Governance</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Authorise change, manage succession</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Governance charter</w:t>
            </w:r>
          </w:p>
        </w:tc>
        <w:tc>
          <w:tcPr>
            <w:tcW w:type="dxa" w:w="1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Sealed Review Board</w:t>
            </w:r>
          </w:p>
        </w:tc>
        <w:tc>
          <w:tcPr>
            <w:tcW w:type="dxa" w:w="1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Annual review of charter</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5. Evolution</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Extend, major-version, retire</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Evolution protocol</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Review Board</w:t>
            </w:r>
          </w:p>
        </w:tc>
        <w:tc>
          <w:tcPr>
            <w:tcW w:type="dxa" w:w="1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Invoked per change, not continuously</w:t>
            </w:r>
          </w:p>
        </w:tc>
      </w:tr>
    </w:tbl>
    <w:p>
      <w:pPr>
        <w:spacing w:after="140"/>
        <w:jc w:val="both"/>
      </w:pPr>
      <w:r>
        <w:rPr>
          <w:rFonts w:ascii="Arial" w:cs="Arial" w:eastAsia="Arial" w:hAnsi="Arial"/>
          <w:color w:val="1a202c"/>
          <w:sz w:val="21"/>
          <w:szCs w:val="21"/>
        </w:rPr>
        <w:t xml:space="preserve">The layers are layered in the architectural sense — each depends on the one above it. A verifier cannot exist without a contract to verify against. Governance cannot operate without something to govern. Evolution cannot happen without the prior four layers to establish a baseline.</w:t>
      </w:r>
    </w:p>
    <w:p>
      <w:pPr>
        <w:pStyle w:val="Heading2"/>
        <w:spacing w:after="100" w:before="320"/>
      </w:pPr>
      <w:r>
        <w:rPr>
          <w:rFonts w:ascii="Arial" w:cs="Arial" w:eastAsia="Arial" w:hAnsi="Arial"/>
          <w:b/>
          <w:bCs/>
          <w:color w:val="1a202c"/>
          <w:sz w:val="28"/>
          <w:szCs w:val="28"/>
        </w:rPr>
        <w:t xml:space="preserve">9.2 Layer 1 — Contract Definition</w:t>
      </w:r>
    </w:p>
    <w:p>
      <w:pPr>
        <w:spacing w:after="140"/>
        <w:jc w:val="both"/>
      </w:pPr>
      <w:r>
        <w:rPr>
          <w:rFonts w:ascii="Arial" w:cs="Arial" w:eastAsia="Arial" w:hAnsi="Arial"/>
          <w:color w:val="1a202c"/>
          <w:sz w:val="21"/>
          <w:szCs w:val="21"/>
        </w:rPr>
        <w:t xml:space="preserve">The first and most foundational layer. A sealed contract is a formal, language-agnostic declaration of what a component does, expressed in a structured format independent of any specific programming language, framework, or runtime.</w:t>
      </w:r>
    </w:p>
    <w:p>
      <w:pPr>
        <w:pStyle w:val="Heading3"/>
        <w:spacing w:after="80" w:before="220"/>
      </w:pPr>
      <w:r>
        <w:rPr>
          <w:rFonts w:ascii="Arial" w:cs="Arial" w:eastAsia="Arial" w:hAnsi="Arial"/>
          <w:b/>
          <w:bCs/>
          <w:color w:val="004271"/>
          <w:sz w:val="23"/>
          <w:szCs w:val="23"/>
        </w:rPr>
        <w:t xml:space="preserve">What a contract contains</w:t>
      </w:r>
    </w:p>
    <w:p>
      <w:pPr>
        <w:pStyle w:val="ListParagraph"/>
        <w:numPr>
          <w:ilvl w:val="0"/>
          <w:numId w:val="3"/>
        </w:numPr>
        <w:spacing w:after="70"/>
      </w:pPr>
      <w:r>
        <w:rPr>
          <w:rFonts w:ascii="Arial" w:cs="Arial" w:eastAsia="Arial" w:hAnsi="Arial"/>
          <w:color w:val="1a202c"/>
          <w:sz w:val="21"/>
          <w:szCs w:val="21"/>
        </w:rPr>
        <w:t xml:space="preserve">A stable, unique identifier (for cross-reference and future tooling)</w:t>
      </w:r>
    </w:p>
    <w:p>
      <w:pPr>
        <w:pStyle w:val="ListParagraph"/>
        <w:numPr>
          <w:ilvl w:val="0"/>
          <w:numId w:val="3"/>
        </w:numPr>
        <w:spacing w:after="70"/>
      </w:pPr>
      <w:r>
        <w:rPr>
          <w:rFonts w:ascii="Arial" w:cs="Arial" w:eastAsia="Arial" w:hAnsi="Arial"/>
          <w:color w:val="1a202c"/>
          <w:sz w:val="21"/>
          <w:szCs w:val="21"/>
        </w:rPr>
        <w:t xml:space="preserve">A version number (the contract version, not the implementation version)</w:t>
      </w:r>
    </w:p>
    <w:p>
      <w:pPr>
        <w:pStyle w:val="ListParagraph"/>
        <w:numPr>
          <w:ilvl w:val="0"/>
          <w:numId w:val="3"/>
        </w:numPr>
        <w:spacing w:after="70"/>
      </w:pPr>
      <w:r>
        <w:rPr>
          <w:rFonts w:ascii="Arial" w:cs="Arial" w:eastAsia="Arial" w:hAnsi="Arial"/>
          <w:color w:val="1a202c"/>
          <w:sz w:val="21"/>
          <w:szCs w:val="21"/>
        </w:rPr>
        <w:t xml:space="preserve">A status — typically 'sealed', but can be 'proposed', 'parallel-live', 'deprecated', 'retired'</w:t>
      </w:r>
    </w:p>
    <w:p>
      <w:pPr>
        <w:pStyle w:val="ListParagraph"/>
        <w:numPr>
          <w:ilvl w:val="0"/>
          <w:numId w:val="3"/>
        </w:numPr>
        <w:spacing w:after="70"/>
      </w:pPr>
      <w:r>
        <w:rPr>
          <w:rFonts w:ascii="Arial" w:cs="Arial" w:eastAsia="Arial" w:hAnsi="Arial"/>
          <w:color w:val="1a202c"/>
          <w:sz w:val="21"/>
          <w:szCs w:val="21"/>
        </w:rPr>
        <w:t xml:space="preserve">Named inputs and outputs with typed structure</w:t>
      </w:r>
    </w:p>
    <w:p>
      <w:pPr>
        <w:pStyle w:val="ListParagraph"/>
        <w:numPr>
          <w:ilvl w:val="0"/>
          <w:numId w:val="3"/>
        </w:numPr>
        <w:spacing w:after="70"/>
      </w:pPr>
      <w:r>
        <w:rPr>
          <w:rFonts w:ascii="Arial" w:cs="Arial" w:eastAsia="Arial" w:hAnsi="Arial"/>
          <w:color w:val="1a202c"/>
          <w:sz w:val="21"/>
          <w:szCs w:val="21"/>
        </w:rPr>
        <w:t xml:space="preserve">Declared invariants that must hold across all implementations</w:t>
      </w:r>
    </w:p>
    <w:p>
      <w:pPr>
        <w:pStyle w:val="ListParagraph"/>
        <w:numPr>
          <w:ilvl w:val="0"/>
          <w:numId w:val="3"/>
        </w:numPr>
        <w:spacing w:after="70"/>
      </w:pPr>
      <w:r>
        <w:rPr>
          <w:rFonts w:ascii="Arial" w:cs="Arial" w:eastAsia="Arial" w:hAnsi="Arial"/>
          <w:color w:val="1a202c"/>
          <w:sz w:val="21"/>
          <w:szCs w:val="21"/>
        </w:rPr>
        <w:t xml:space="preserve">An extension policy — what kinds of extension are permitted vs forbidden</w:t>
      </w:r>
    </w:p>
    <w:p>
      <w:pPr>
        <w:pStyle w:val="ListParagraph"/>
        <w:numPr>
          <w:ilvl w:val="0"/>
          <w:numId w:val="3"/>
        </w:numPr>
        <w:spacing w:after="70"/>
      </w:pPr>
      <w:r>
        <w:rPr>
          <w:rFonts w:ascii="Arial" w:cs="Arial" w:eastAsia="Arial" w:hAnsi="Arial"/>
          <w:color w:val="1a202c"/>
          <w:sz w:val="21"/>
          <w:szCs w:val="21"/>
        </w:rPr>
        <w:t xml:space="preserve">References to related contracts (dependencies, extensions)</w:t>
      </w:r>
    </w:p>
    <w:p>
      <w:pPr>
        <w:pStyle w:val="Heading3"/>
        <w:spacing w:after="80" w:before="220"/>
      </w:pPr>
      <w:r>
        <w:rPr>
          <w:rFonts w:ascii="Arial" w:cs="Arial" w:eastAsia="Arial" w:hAnsi="Arial"/>
          <w:b/>
          <w:bCs/>
          <w:color w:val="004271"/>
          <w:sz w:val="23"/>
          <w:szCs w:val="23"/>
        </w:rPr>
        <w:t xml:space="preserve">What a contract does not contain</w:t>
      </w:r>
    </w:p>
    <w:p>
      <w:pPr>
        <w:pStyle w:val="ListParagraph"/>
        <w:numPr>
          <w:ilvl w:val="0"/>
          <w:numId w:val="3"/>
        </w:numPr>
        <w:spacing w:after="70"/>
      </w:pPr>
      <w:r>
        <w:rPr>
          <w:rFonts w:ascii="Arial" w:cs="Arial" w:eastAsia="Arial" w:hAnsi="Arial"/>
          <w:color w:val="1a202c"/>
          <w:sz w:val="21"/>
          <w:szCs w:val="21"/>
        </w:rPr>
        <w:t xml:space="preserve">Implementation details (which language, which framework, which library)</w:t>
      </w:r>
    </w:p>
    <w:p>
      <w:pPr>
        <w:pStyle w:val="ListParagraph"/>
        <w:numPr>
          <w:ilvl w:val="0"/>
          <w:numId w:val="3"/>
        </w:numPr>
        <w:spacing w:after="70"/>
      </w:pPr>
      <w:r>
        <w:rPr>
          <w:rFonts w:ascii="Arial" w:cs="Arial" w:eastAsia="Arial" w:hAnsi="Arial"/>
          <w:color w:val="1a202c"/>
          <w:sz w:val="21"/>
          <w:szCs w:val="21"/>
        </w:rPr>
        <w:t xml:space="preserve">Performance guarantees tied to specific infrastructure</w:t>
      </w:r>
    </w:p>
    <w:p>
      <w:pPr>
        <w:pStyle w:val="ListParagraph"/>
        <w:numPr>
          <w:ilvl w:val="0"/>
          <w:numId w:val="3"/>
        </w:numPr>
        <w:spacing w:after="70"/>
      </w:pPr>
      <w:r>
        <w:rPr>
          <w:rFonts w:ascii="Arial" w:cs="Arial" w:eastAsia="Arial" w:hAnsi="Arial"/>
          <w:color w:val="1a202c"/>
          <w:sz w:val="21"/>
          <w:szCs w:val="21"/>
        </w:rPr>
        <w:t xml:space="preserve">User-facing behaviour details (those belong in separate behavioural contracts)</w:t>
      </w:r>
    </w:p>
    <w:p>
      <w:pPr>
        <w:pStyle w:val="ListParagraph"/>
        <w:numPr>
          <w:ilvl w:val="0"/>
          <w:numId w:val="3"/>
        </w:numPr>
        <w:spacing w:after="70"/>
      </w:pPr>
      <w:r>
        <w:rPr>
          <w:rFonts w:ascii="Arial" w:cs="Arial" w:eastAsia="Arial" w:hAnsi="Arial"/>
          <w:color w:val="1a202c"/>
          <w:sz w:val="21"/>
          <w:szCs w:val="21"/>
        </w:rPr>
        <w:t xml:space="preserve">Anything tied to the current team, ownership, or organisational structure</w:t>
      </w:r>
    </w:p>
    <w:p>
      <w:pPr>
        <w:spacing w:after="140"/>
        <w:jc w:val="both"/>
      </w:pPr>
      <w:r>
        <w:rPr>
          <w:rFonts w:ascii="Arial" w:cs="Arial" w:eastAsia="Arial" w:hAnsi="Arial"/>
          <w:color w:val="1a202c"/>
          <w:sz w:val="21"/>
          <w:szCs w:val="21"/>
        </w:rPr>
        <w:t xml:space="preserve">The reference format for contracts is specified in Section 10.</w:t>
      </w:r>
    </w:p>
    <w:p>
      <w:pPr>
        <w:pStyle w:val="Heading2"/>
        <w:spacing w:after="100" w:before="320"/>
      </w:pPr>
      <w:r>
        <w:rPr>
          <w:rFonts w:ascii="Arial" w:cs="Arial" w:eastAsia="Arial" w:hAnsi="Arial"/>
          <w:b/>
          <w:bCs/>
          <w:color w:val="1a202c"/>
          <w:sz w:val="28"/>
          <w:szCs w:val="28"/>
        </w:rPr>
        <w:t xml:space="preserve">9.3 Layer 2 — Intent Capture</w:t>
      </w:r>
    </w:p>
    <w:p>
      <w:pPr>
        <w:spacing w:after="140"/>
        <w:jc w:val="both"/>
      </w:pPr>
      <w:r>
        <w:rPr>
          <w:rFonts w:ascii="Arial" w:cs="Arial" w:eastAsia="Arial" w:hAnsi="Arial"/>
          <w:color w:val="1a202c"/>
          <w:sz w:val="21"/>
          <w:szCs w:val="21"/>
        </w:rPr>
        <w:t xml:space="preserve">A contract by itself is inert. It says what the component does. It does not say why. The why is captured in a separate artefact: the Intent Document, bound to the contract but distinct from it.</w:t>
      </w:r>
    </w:p>
    <w:p>
      <w:pPr>
        <w:spacing w:after="140"/>
        <w:jc w:val="both"/>
      </w:pPr>
      <w:r>
        <w:rPr>
          <w:rFonts w:ascii="Arial" w:cs="Arial" w:eastAsia="Arial" w:hAnsi="Arial"/>
          <w:color w:val="1a202c"/>
          <w:sz w:val="21"/>
          <w:szCs w:val="21"/>
        </w:rPr>
        <w:t xml:space="preserve">The Intent Document is prose, in Markdown format, with specific required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Section</w:t>
            </w:r>
          </w:p>
        </w:tc>
        <w:tc>
          <w:tcPr>
            <w:tcW w:type="dxa" w:w="69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What it captures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Problem Statement</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What problem this contract exists to solve, in the original author's words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Invariants</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Numbered list of properties that must never be violated, with rationale for each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Rejected Alternatives</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Alternative designs considered, with reasons for rejection — this is the most valuable section for future maintainers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Failure Modes Protected Against</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What this design prevents that other designs would have permitted</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Assumptions</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Explicit statement of what this contract assumes about the world — so future maintainers can check whether those assumptions still hold</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Related Context</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Decision log entries, external references, or background documents</w:t>
            </w:r>
          </w:p>
        </w:tc>
      </w:tr>
    </w:tbl>
    <w:p>
      <w:pPr>
        <w:spacing w:after="140"/>
        <w:jc w:val="both"/>
      </w:pPr>
      <w:r>
        <w:rPr>
          <w:rFonts w:ascii="Arial" w:cs="Arial" w:eastAsia="Arial" w:hAnsi="Arial"/>
          <w:color w:val="1a202c"/>
          <w:sz w:val="21"/>
          <w:szCs w:val="21"/>
        </w:rPr>
        <w:t xml:space="preserve">The Intent Document is append-only. When a contract is extended or modified, the intent document gains new entries but does not lose old ones. This preserves the history of thought that led to the current state. A future maintainer — human or AI — can read the full history and understand how the design evolved.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0"/>
              <w:bottom w:val="single" w:color="b45309" w:sz="10"/>
              <w:right w:val="single" w:color="b45309" w:sz="10"/>
            </w:tcBorders>
            <w:shd w:fill="fef3c7" w:val="clear"/>
            <w:tcMar>
              <w:top w:type="dxa" w:w="180"/>
              <w:left w:type="dxa" w:w="220"/>
              <w:bottom w:type="dxa" w:w="180"/>
              <w:right w:type="dxa" w:w="220"/>
            </w:tcMar>
          </w:tcPr>
          <w:p>
            <w:pPr>
              <w:spacing w:after="100"/>
            </w:pPr>
            <w:r>
              <w:rPr>
                <w:rFonts w:ascii="Arial" w:cs="Arial" w:eastAsia="Arial" w:hAnsi="Arial"/>
                <w:b/>
                <w:bCs/>
                <w:color w:val="b45309"/>
                <w:sz w:val="23"/>
                <w:szCs w:val="23"/>
              </w:rPr>
              <w:t xml:space="preserve">Why intent matters more than interface</w:t>
            </w:r>
          </w:p>
          <w:p>
            <w:pPr>
              <w:spacing w:after="70"/>
            </w:pPr>
            <w:r>
              <w:rPr>
                <w:rFonts w:ascii="Arial" w:cs="Arial" w:eastAsia="Arial" w:hAnsi="Arial"/>
                <w:color w:val="1a202c"/>
                <w:sz w:val="21"/>
                <w:szCs w:val="21"/>
              </w:rPr>
              <w:t xml:space="preserve">A sealed contract says 'this function takes two arguments and returns a session token.'</w:t>
            </w:r>
          </w:p>
          <w:p>
            <w:pPr>
              <w:spacing w:after="70"/>
            </w:pPr>
            <w:r>
              <w:rPr>
                <w:rFonts w:ascii="Arial" w:cs="Arial" w:eastAsia="Arial" w:hAnsi="Arial"/>
                <w:color w:val="1a202c"/>
                <w:sz w:val="21"/>
                <w:szCs w:val="21"/>
              </w:rPr>
              <w:t xml:space="preserve">The intent document says 'we require session tokens to be opaque because the last version leaked user identifiers in the token structure, which permitted session hijacking. Making tokens opaque is non-negotiable even though it makes debugging harder.'</w:t>
            </w:r>
          </w:p>
          <w:p>
            <w:pPr>
              <w:spacing w:after="70"/>
            </w:pPr>
            <w:r>
              <w:rPr>
                <w:rFonts w:ascii="Arial" w:cs="Arial" w:eastAsia="Arial" w:hAnsi="Arial"/>
                <w:color w:val="1a202c"/>
                <w:sz w:val="21"/>
                <w:szCs w:val="21"/>
              </w:rPr>
              <w:t xml:space="preserve">The interface alone cannot tell a future developer whether they can 'improve' the implementation by making tokens more descriptive. The intent document tells them no, and why.</w:t>
            </w:r>
          </w:p>
          <w:p>
            <w:pPr>
              <w:spacing w:after="70"/>
            </w:pPr>
            <w:r>
              <w:rPr>
                <w:rFonts w:ascii="Arial" w:cs="Arial" w:eastAsia="Arial" w:hAnsi="Arial"/>
                <w:color w:val="1a202c"/>
                <w:sz w:val="21"/>
                <w:szCs w:val="21"/>
              </w:rPr>
              <w:t xml:space="preserve">This is what prevents Amnesia (Failure Mode 4.5) from setting in over a decade of engineering turnover.</w:t>
            </w:r>
          </w:p>
        </w:tc>
      </w:tr>
    </w:tbl>
    <w:p>
      <w:pPr>
        <w:pStyle w:val="Heading2"/>
        <w:spacing w:after="100" w:before="320"/>
      </w:pPr>
      <w:r>
        <w:rPr>
          <w:rFonts w:ascii="Arial" w:cs="Arial" w:eastAsia="Arial" w:hAnsi="Arial"/>
          <w:b/>
          <w:bCs/>
          <w:color w:val="1a202c"/>
          <w:sz w:val="28"/>
          <w:szCs w:val="28"/>
        </w:rPr>
        <w:t xml:space="preserve">9.4 Layer 3 — Verification</w:t>
      </w:r>
    </w:p>
    <w:p>
      <w:pPr>
        <w:spacing w:after="140"/>
        <w:jc w:val="both"/>
      </w:pPr>
      <w:r>
        <w:rPr>
          <w:rFonts w:ascii="Arial" w:cs="Arial" w:eastAsia="Arial" w:hAnsi="Arial"/>
          <w:color w:val="1a202c"/>
          <w:sz w:val="21"/>
          <w:szCs w:val="21"/>
        </w:rPr>
        <w:t xml:space="preserve">The third layer closes the gap between contract and implementation. A verifier is a piece of tooling — small, stack-specific, and replaceable — that reads the contract specification and proves that the current implementation conforms to it.</w:t>
      </w:r>
    </w:p>
    <w:p>
      <w:pPr>
        <w:spacing w:after="140"/>
        <w:jc w:val="both"/>
      </w:pPr>
      <w:r>
        <w:rPr>
          <w:rFonts w:ascii="Arial" w:cs="Arial" w:eastAsia="Arial" w:hAnsi="Arial"/>
          <w:color w:val="1a202c"/>
          <w:sz w:val="21"/>
          <w:szCs w:val="21"/>
        </w:rPr>
        <w:t xml:space="preserve">Verifiers are intentionally thin. They do one job: given a contract and an implementation, return PASS or FAIL with specifics. They are not the architecture. The contract is the architecture. The verifier is how the contract is enforced in a specific stack.</w:t>
      </w:r>
    </w:p>
    <w:p>
      <w:pPr>
        <w:pStyle w:val="Heading3"/>
        <w:spacing w:after="80" w:before="220"/>
      </w:pPr>
      <w:r>
        <w:rPr>
          <w:rFonts w:ascii="Arial" w:cs="Arial" w:eastAsia="Arial" w:hAnsi="Arial"/>
          <w:b/>
          <w:bCs/>
          <w:color w:val="004271"/>
          <w:sz w:val="23"/>
          <w:szCs w:val="23"/>
        </w:rPr>
        <w:t xml:space="preserve">What a verifier checks</w:t>
      </w:r>
    </w:p>
    <w:p>
      <w:pPr>
        <w:pStyle w:val="ListParagraph"/>
        <w:numPr>
          <w:ilvl w:val="0"/>
          <w:numId w:val="3"/>
        </w:numPr>
        <w:spacing w:after="70"/>
      </w:pPr>
      <w:r>
        <w:rPr>
          <w:rFonts w:ascii="Arial" w:cs="Arial" w:eastAsia="Arial" w:hAnsi="Arial"/>
          <w:color w:val="1a202c"/>
          <w:sz w:val="21"/>
          <w:szCs w:val="21"/>
        </w:rPr>
        <w:t xml:space="preserve">Structural conformance — do the declared functions exist with the specified signatures?</w:t>
      </w:r>
    </w:p>
    <w:p>
      <w:pPr>
        <w:pStyle w:val="ListParagraph"/>
        <w:numPr>
          <w:ilvl w:val="0"/>
          <w:numId w:val="3"/>
        </w:numPr>
        <w:spacing w:after="70"/>
      </w:pPr>
      <w:r>
        <w:rPr>
          <w:rFonts w:ascii="Arial" w:cs="Arial" w:eastAsia="Arial" w:hAnsi="Arial"/>
          <w:color w:val="1a202c"/>
          <w:sz w:val="21"/>
          <w:szCs w:val="21"/>
        </w:rPr>
        <w:t xml:space="preserve">Invariant conformance — can the stated invariants be proven from the code? (Where proof is intractable, tests that exercise the invariant may substitute.)</w:t>
      </w:r>
    </w:p>
    <w:p>
      <w:pPr>
        <w:pStyle w:val="ListParagraph"/>
        <w:numPr>
          <w:ilvl w:val="0"/>
          <w:numId w:val="3"/>
        </w:numPr>
        <w:spacing w:after="70"/>
      </w:pPr>
      <w:r>
        <w:rPr>
          <w:rFonts w:ascii="Arial" w:cs="Arial" w:eastAsia="Arial" w:hAnsi="Arial"/>
          <w:color w:val="1a202c"/>
          <w:sz w:val="21"/>
          <w:szCs w:val="21"/>
        </w:rPr>
        <w:t xml:space="preserve">Extension conformance — does any new code adhere to the declared extension policy?</w:t>
      </w:r>
    </w:p>
    <w:p>
      <w:pPr>
        <w:pStyle w:val="ListParagraph"/>
        <w:numPr>
          <w:ilvl w:val="0"/>
          <w:numId w:val="3"/>
        </w:numPr>
        <w:spacing w:after="70"/>
      </w:pPr>
      <w:r>
        <w:rPr>
          <w:rFonts w:ascii="Arial" w:cs="Arial" w:eastAsia="Arial" w:hAnsi="Arial"/>
          <w:color w:val="1a202c"/>
          <w:sz w:val="21"/>
          <w:szCs w:val="21"/>
        </w:rPr>
        <w:t xml:space="preserve">Version conformance — does the implementation target the current contract version?</w:t>
      </w:r>
    </w:p>
    <w:p>
      <w:pPr>
        <w:pStyle w:val="Heading3"/>
        <w:spacing w:after="80" w:before="220"/>
      </w:pPr>
      <w:r>
        <w:rPr>
          <w:rFonts w:ascii="Arial" w:cs="Arial" w:eastAsia="Arial" w:hAnsi="Arial"/>
          <w:b/>
          <w:bCs/>
          <w:color w:val="004271"/>
          <w:sz w:val="23"/>
          <w:szCs w:val="23"/>
        </w:rPr>
        <w:t xml:space="preserve">Why verifiers are per-stack, not universal</w:t>
      </w:r>
    </w:p>
    <w:p>
      <w:pPr>
        <w:spacing w:after="140"/>
        <w:jc w:val="both"/>
      </w:pPr>
      <w:r>
        <w:rPr>
          <w:rFonts w:ascii="Arial" w:cs="Arial" w:eastAsia="Arial" w:hAnsi="Arial"/>
          <w:color w:val="1a202c"/>
          <w:sz w:val="21"/>
          <w:szCs w:val="21"/>
        </w:rPr>
        <w:t xml:space="preserve">A Kotlin verifier looks different from a Python verifier from a TypeScript verifier. Each must interact with the specific language's type system, reflection, and build tooling. Attempting a single universal verifier would either be shallow (missing stack-specific violations) or impossibly complex. The better design is a family of small, dedicated verifiers — one per stack — that all read the same portable contract.</w:t>
      </w:r>
    </w:p>
    <w:p>
      <w:pPr>
        <w:spacing w:after="140"/>
        <w:jc w:val="both"/>
      </w:pPr>
      <w:r>
        <w:rPr>
          <w:rFonts w:ascii="Arial" w:cs="Arial" w:eastAsia="Arial" w:hAnsi="Arial"/>
          <w:color w:val="1a202c"/>
          <w:sz w:val="21"/>
          <w:szCs w:val="21"/>
        </w:rPr>
        <w:t xml:space="preserve">This is also why verifiers are treated as transient. A Kotlin verifier built in 2026 may be replaced by a different tool in 2028. The contract it verifies, though, remains the same. New verifiers for new stacks can be built against the same contracts as organisations adopt new technologies.</w:t>
      </w:r>
    </w:p>
    <w:p>
      <w:pPr>
        <w:pStyle w:val="Heading2"/>
        <w:spacing w:after="100" w:before="320"/>
      </w:pPr>
      <w:r>
        <w:rPr>
          <w:rFonts w:ascii="Arial" w:cs="Arial" w:eastAsia="Arial" w:hAnsi="Arial"/>
          <w:b/>
          <w:bCs/>
          <w:color w:val="1a202c"/>
          <w:sz w:val="28"/>
          <w:szCs w:val="28"/>
        </w:rPr>
        <w:t xml:space="preserve">9.5 Layer 4 — Governance</w:t>
      </w:r>
    </w:p>
    <w:p>
      <w:pPr>
        <w:spacing w:after="140"/>
        <w:jc w:val="both"/>
      </w:pPr>
      <w:r>
        <w:rPr>
          <w:rFonts w:ascii="Arial" w:cs="Arial" w:eastAsia="Arial" w:hAnsi="Arial"/>
          <w:color w:val="1a202c"/>
          <w:sz w:val="21"/>
          <w:szCs w:val="21"/>
        </w:rPr>
        <w:t xml:space="preserve">The fourth layer defines who has authority to do what. Without explicit governance, the contracts and intent documents become orphaned — everyone can see them, nobody is responsible for them, and over time they drift out of alignment with reality.</w:t>
      </w:r>
    </w:p>
    <w:p>
      <w:pPr>
        <w:spacing w:after="140"/>
        <w:jc w:val="both"/>
      </w:pPr>
      <w:r>
        <w:rPr>
          <w:rFonts w:ascii="Arial" w:cs="Arial" w:eastAsia="Arial" w:hAnsi="Arial"/>
          <w:color w:val="1a202c"/>
          <w:sz w:val="21"/>
          <w:szCs w:val="21"/>
        </w:rPr>
        <w:t xml:space="preserve">SEA governance is structured around three named roles and one named body:</w:t>
      </w:r>
    </w:p>
    <w:p>
      <w:pPr>
        <w:pStyle w:val="Heading3"/>
        <w:spacing w:after="80" w:before="220"/>
      </w:pPr>
      <w:r>
        <w:rPr>
          <w:rFonts w:ascii="Arial" w:cs="Arial" w:eastAsia="Arial" w:hAnsi="Arial"/>
          <w:b/>
          <w:bCs/>
          <w:color w:val="004271"/>
          <w:sz w:val="23"/>
          <w:szCs w:val="23"/>
        </w:rPr>
        <w:t xml:space="preserve">The Contract Owner</w:t>
      </w:r>
    </w:p>
    <w:p>
      <w:pPr>
        <w:spacing w:after="140"/>
        <w:jc w:val="both"/>
      </w:pPr>
      <w:r>
        <w:rPr>
          <w:rFonts w:ascii="Arial" w:cs="Arial" w:eastAsia="Arial" w:hAnsi="Arial"/>
          <w:color w:val="1a202c"/>
          <w:sz w:val="21"/>
          <w:szCs w:val="21"/>
        </w:rPr>
        <w:t xml:space="preserve">Every sealed contract has exactly one Contract Owner. This is the current person responsible — not the original author, not the team lead, the current Owner. Owners have formal succession: when an Owner leaves the role, the transition is named, documented, and witnessed. There is no 'Owner by default' state.</w:t>
      </w:r>
    </w:p>
    <w:p>
      <w:pPr>
        <w:spacing w:after="140"/>
        <w:jc w:val="both"/>
      </w:pPr>
      <w:r>
        <w:rPr>
          <w:rFonts w:ascii="Arial" w:cs="Arial" w:eastAsia="Arial" w:hAnsi="Arial"/>
          <w:color w:val="1a202c"/>
          <w:sz w:val="21"/>
          <w:szCs w:val="21"/>
        </w:rPr>
        <w:t xml:space="preserve">The Contract Owner's responsibilities are: maintain the intent document as the contract evolves, approve or reject proposed extensions, and participate in the quarterly Sealed Review Board for their contract.</w:t>
      </w:r>
    </w:p>
    <w:p>
      <w:pPr>
        <w:pStyle w:val="Heading3"/>
        <w:spacing w:after="80" w:before="220"/>
      </w:pPr>
      <w:r>
        <w:rPr>
          <w:rFonts w:ascii="Arial" w:cs="Arial" w:eastAsia="Arial" w:hAnsi="Arial"/>
          <w:b/>
          <w:bCs/>
          <w:color w:val="004271"/>
          <w:sz w:val="23"/>
          <w:szCs w:val="23"/>
        </w:rPr>
        <w:t xml:space="preserve">The Contract Reviewer</w:t>
      </w:r>
    </w:p>
    <w:p>
      <w:pPr>
        <w:spacing w:after="140"/>
        <w:jc w:val="both"/>
      </w:pPr>
      <w:r>
        <w:rPr>
          <w:rFonts w:ascii="Arial" w:cs="Arial" w:eastAsia="Arial" w:hAnsi="Arial"/>
          <w:color w:val="1a202c"/>
          <w:sz w:val="21"/>
          <w:szCs w:val="21"/>
        </w:rPr>
        <w:t xml:space="preserve">Every sealed contract also has a named Contract Reviewer, who must be a different person from the Owner. The Reviewer approves extensions, challenges invariant claims, and provides the two-person check that prevents self-approval.</w:t>
      </w:r>
    </w:p>
    <w:p>
      <w:pPr>
        <w:spacing w:after="140"/>
        <w:jc w:val="both"/>
      </w:pPr>
      <w:r>
        <w:rPr>
          <w:rFonts w:ascii="Arial" w:cs="Arial" w:eastAsia="Arial" w:hAnsi="Arial"/>
          <w:color w:val="1a202c"/>
          <w:sz w:val="21"/>
          <w:szCs w:val="21"/>
        </w:rPr>
        <w:t xml:space="preserve">For small teams, the Reviewer is often the peer-most senior to the Owner. For larger organisations, Reviewer is a formal role staffed by the Sealed Review Board.</w:t>
      </w:r>
    </w:p>
    <w:p>
      <w:pPr>
        <w:pStyle w:val="Heading3"/>
        <w:spacing w:after="80" w:before="220"/>
      </w:pPr>
      <w:r>
        <w:rPr>
          <w:rFonts w:ascii="Arial" w:cs="Arial" w:eastAsia="Arial" w:hAnsi="Arial"/>
          <w:b/>
          <w:bCs/>
          <w:color w:val="004271"/>
          <w:sz w:val="23"/>
          <w:szCs w:val="23"/>
        </w:rPr>
        <w:t xml:space="preserve">The Platform Team</w:t>
      </w:r>
    </w:p>
    <w:p>
      <w:pPr>
        <w:spacing w:after="140"/>
        <w:jc w:val="both"/>
      </w:pPr>
      <w:r>
        <w:rPr>
          <w:rFonts w:ascii="Arial" w:cs="Arial" w:eastAsia="Arial" w:hAnsi="Arial"/>
          <w:color w:val="1a202c"/>
          <w:sz w:val="21"/>
          <w:szCs w:val="21"/>
        </w:rPr>
        <w:t xml:space="preserve">A team (small, often 2-5 people) responsible for the verification tooling — maintaining verifiers, updating them when stacks change, ensuring they run correctly in CI/CD pipelines. The Platform Team owns the mechanism, not the contracts themselves.</w:t>
      </w:r>
    </w:p>
    <w:p>
      <w:pPr>
        <w:pStyle w:val="Heading3"/>
        <w:spacing w:after="80" w:before="220"/>
      </w:pPr>
      <w:r>
        <w:rPr>
          <w:rFonts w:ascii="Arial" w:cs="Arial" w:eastAsia="Arial" w:hAnsi="Arial"/>
          <w:b/>
          <w:bCs/>
          <w:color w:val="004271"/>
          <w:sz w:val="23"/>
          <w:szCs w:val="23"/>
        </w:rPr>
        <w:t xml:space="preserve">The Sealed Review Board</w:t>
      </w:r>
    </w:p>
    <w:p>
      <w:pPr>
        <w:spacing w:after="140"/>
        <w:jc w:val="both"/>
      </w:pPr>
      <w:r>
        <w:rPr>
          <w:rFonts w:ascii="Arial" w:cs="Arial" w:eastAsia="Arial" w:hAnsi="Arial"/>
          <w:color w:val="1a202c"/>
          <w:sz w:val="21"/>
          <w:szCs w:val="21"/>
        </w:rPr>
        <w:t xml:space="preserve">A standing body that meets quarterly to review all sealed contracts. Membership is typically 4-8 senior architects, rotating on staggered terms. The Board reviews drift incidents, considers proposed major version bumps, approves retirement ceremonies, and confirms succession appointments.</w:t>
      </w:r>
    </w:p>
    <w:p>
      <w:pPr>
        <w:spacing w:after="140"/>
        <w:jc w:val="both"/>
      </w:pPr>
      <w:r>
        <w:rPr>
          <w:rFonts w:ascii="Arial" w:cs="Arial" w:eastAsia="Arial" w:hAnsi="Arial"/>
          <w:color w:val="1a202c"/>
          <w:sz w:val="21"/>
          <w:szCs w:val="21"/>
        </w:rPr>
        <w:t xml:space="preserve">The Sealed Review Board is the body that has, collectively, the only authority to retire or replace a sealed contract. No individual has this authority — the requirement for collective decision is deliberate and is what makes sealed contracts actually sealed rather than modifiable-when-convenient.</w:t>
      </w:r>
    </w:p>
    <w:p>
      <w:pPr>
        <w:pStyle w:val="Heading2"/>
        <w:spacing w:after="100" w:before="320"/>
      </w:pPr>
      <w:r>
        <w:rPr>
          <w:rFonts w:ascii="Arial" w:cs="Arial" w:eastAsia="Arial" w:hAnsi="Arial"/>
          <w:b/>
          <w:bCs/>
          <w:color w:val="1a202c"/>
          <w:sz w:val="28"/>
          <w:szCs w:val="28"/>
        </w:rPr>
        <w:t xml:space="preserve">9.6 Layer 5 — Evolution</w:t>
      </w:r>
    </w:p>
    <w:p>
      <w:pPr>
        <w:spacing w:after="140"/>
        <w:jc w:val="both"/>
      </w:pPr>
      <w:r>
        <w:rPr>
          <w:rFonts w:ascii="Arial" w:cs="Arial" w:eastAsia="Arial" w:hAnsi="Arial"/>
          <w:color w:val="1a202c"/>
          <w:sz w:val="21"/>
          <w:szCs w:val="21"/>
        </w:rPr>
        <w:t xml:space="preserve">The fifth layer addresses how sealed systems change over time without losing their sealed character. This is the subtlest layer — most architectures that attempt sealing get Layer 5 wrong, and the system either ossifies (cannot evolve) or dissolves (evolves freely, defeating the point).</w:t>
      </w:r>
    </w:p>
    <w:p>
      <w:pPr>
        <w:spacing w:after="140"/>
        <w:jc w:val="both"/>
      </w:pPr>
      <w:r>
        <w:rPr>
          <w:rFonts w:ascii="Arial" w:cs="Arial" w:eastAsia="Arial" w:hAnsi="Arial"/>
          <w:color w:val="1a202c"/>
          <w:sz w:val="21"/>
          <w:szCs w:val="21"/>
        </w:rPr>
        <w:t xml:space="preserve">SEA defines three distinct evolution mechanisms, each with its own protocol:</w:t>
      </w:r>
    </w:p>
    <w:p>
      <w:pPr>
        <w:pStyle w:val="Heading3"/>
        <w:spacing w:after="80" w:before="220"/>
      </w:pPr>
      <w:r>
        <w:rPr>
          <w:rFonts w:ascii="Arial" w:cs="Arial" w:eastAsia="Arial" w:hAnsi="Arial"/>
          <w:b/>
          <w:bCs/>
          <w:color w:val="004271"/>
          <w:sz w:val="23"/>
          <w:szCs w:val="23"/>
        </w:rPr>
        <w:t xml:space="preserve">Mechanism 1 — Extension</w:t>
      </w:r>
    </w:p>
    <w:p>
      <w:pPr>
        <w:spacing w:after="140"/>
        <w:jc w:val="both"/>
      </w:pPr>
      <w:r>
        <w:rPr>
          <w:rFonts w:ascii="Arial" w:cs="Arial" w:eastAsia="Arial" w:hAnsi="Arial"/>
          <w:color w:val="1a202c"/>
          <w:sz w:val="21"/>
          <w:szCs w:val="21"/>
        </w:rPr>
        <w:t xml:space="preserve">The most common. A new capability is added alongside an existing sealed contract. The existing contract stays sealed, untouched. The new capability is expressed as a new sealed contract that references the original. Implementations can depend on both.</w:t>
      </w:r>
    </w:p>
    <w:p>
      <w:pPr>
        <w:spacing w:after="140"/>
        <w:jc w:val="both"/>
      </w:pPr>
      <w:r>
        <w:rPr>
          <w:rFonts w:ascii="Arial" w:cs="Arial" w:eastAsia="Arial" w:hAnsi="Arial"/>
          <w:color w:val="1a202c"/>
          <w:sz w:val="21"/>
          <w:szCs w:val="21"/>
        </w:rPr>
        <w:t xml:space="preserve">In the bridge analogy: a new pillar is added alongside existing pillars to carry new loads. The existing pillars are not reinforced or modified. New capacity comes from new structure, not from retrofitting old structure.</w:t>
      </w:r>
    </w:p>
    <w:p>
      <w:pPr>
        <w:spacing w:after="140"/>
        <w:jc w:val="both"/>
      </w:pPr>
      <w:r>
        <w:rPr>
          <w:rFonts w:ascii="Arial" w:cs="Arial" w:eastAsia="Arial" w:hAnsi="Arial"/>
          <w:color w:val="1a202c"/>
          <w:sz w:val="21"/>
          <w:szCs w:val="21"/>
        </w:rPr>
        <w:t xml:space="preserve">Extension is the default. Most architectural changes fit this mechanism. It is approved by the Contract Owner plus the Contract Reviewer, using the standard review process.</w:t>
      </w:r>
    </w:p>
    <w:p>
      <w:pPr>
        <w:pStyle w:val="Heading3"/>
        <w:spacing w:after="80" w:before="220"/>
      </w:pPr>
      <w:r>
        <w:rPr>
          <w:rFonts w:ascii="Arial" w:cs="Arial" w:eastAsia="Arial" w:hAnsi="Arial"/>
          <w:b/>
          <w:bCs/>
          <w:color w:val="004271"/>
          <w:sz w:val="23"/>
          <w:szCs w:val="23"/>
        </w:rPr>
        <w:t xml:space="preserve">Mechanism 2 — Parallel-Live Replacement</w:t>
      </w:r>
    </w:p>
    <w:p>
      <w:pPr>
        <w:spacing w:after="140"/>
        <w:jc w:val="both"/>
      </w:pPr>
      <w:r>
        <w:rPr>
          <w:rFonts w:ascii="Arial" w:cs="Arial" w:eastAsia="Arial" w:hAnsi="Arial"/>
          <w:color w:val="1a202c"/>
          <w:sz w:val="21"/>
          <w:szCs w:val="21"/>
        </w:rPr>
        <w:t xml:space="preserve">When an existing sealed contract must be superseded — because its invariants were flawed, because external requirements have fundamentally changed, because a better design has been identified — the replacement is not done by modification. A new contract is designed alongside the old one. Both are operational for a defined transition period.</w:t>
      </w:r>
    </w:p>
    <w:p>
      <w:pPr>
        <w:spacing w:after="140"/>
        <w:jc w:val="both"/>
      </w:pPr>
      <w:r>
        <w:rPr>
          <w:rFonts w:ascii="Arial" w:cs="Arial" w:eastAsia="Arial" w:hAnsi="Arial"/>
          <w:color w:val="1a202c"/>
          <w:sz w:val="21"/>
          <w:szCs w:val="21"/>
        </w:rPr>
        <w:t xml:space="preserve">Consumers of the old contract migrate to the new one on their own cadence. The old contract continues to function during migration. When the last consumer has migrated, the old contract enters the retirement protocol.</w:t>
      </w:r>
    </w:p>
    <w:p>
      <w:pPr>
        <w:spacing w:after="140"/>
        <w:jc w:val="both"/>
      </w:pPr>
      <w:r>
        <w:rPr>
          <w:rFonts w:ascii="Arial" w:cs="Arial" w:eastAsia="Arial" w:hAnsi="Arial"/>
          <w:color w:val="1a202c"/>
          <w:sz w:val="21"/>
          <w:szCs w:val="21"/>
        </w:rPr>
        <w:t xml:space="preserve">Parallel-Live Replacement requires approval from the Sealed Review Board. It is the second most common mechanism.</w:t>
      </w:r>
    </w:p>
    <w:p>
      <w:pPr>
        <w:pStyle w:val="Heading3"/>
        <w:spacing w:after="80" w:before="220"/>
      </w:pPr>
      <w:r>
        <w:rPr>
          <w:rFonts w:ascii="Arial" w:cs="Arial" w:eastAsia="Arial" w:hAnsi="Arial"/>
          <w:b/>
          <w:bCs/>
          <w:color w:val="004271"/>
          <w:sz w:val="23"/>
          <w:szCs w:val="23"/>
        </w:rPr>
        <w:t xml:space="preserve">Mechanism 3 — Major Version Bump</w:t>
      </w:r>
    </w:p>
    <w:p>
      <w:pPr>
        <w:spacing w:after="140"/>
        <w:jc w:val="both"/>
      </w:pPr>
      <w:r>
        <w:rPr>
          <w:rFonts w:ascii="Arial" w:cs="Arial" w:eastAsia="Arial" w:hAnsi="Arial"/>
          <w:color w:val="1a202c"/>
          <w:sz w:val="21"/>
          <w:szCs w:val="21"/>
        </w:rPr>
        <w:t xml:space="preserve">The rarest and most consequential mechanism. A Major Version Bump is invoked when the fundamental purpose of the system has shifted — when a set of sealed contracts that were correct for the original purpose are no longer correct for the new purpose.</w:t>
      </w:r>
    </w:p>
    <w:p>
      <w:pPr>
        <w:spacing w:after="140"/>
        <w:jc w:val="both"/>
      </w:pPr>
      <w:r>
        <w:rPr>
          <w:rFonts w:ascii="Arial" w:cs="Arial" w:eastAsia="Arial" w:hAnsi="Arial"/>
          <w:color w:val="1a202c"/>
          <w:sz w:val="21"/>
          <w:szCs w:val="21"/>
        </w:rPr>
        <w:t xml:space="preserve">Major Version Bumps involve:</w:t>
      </w:r>
    </w:p>
    <w:p>
      <w:pPr>
        <w:pStyle w:val="ListParagraph"/>
        <w:numPr>
          <w:ilvl w:val="0"/>
          <w:numId w:val="2"/>
        </w:numPr>
        <w:spacing w:after="70"/>
      </w:pPr>
      <w:r>
        <w:rPr>
          <w:rFonts w:ascii="Arial" w:cs="Arial" w:eastAsia="Arial" w:hAnsi="Arial"/>
          <w:color w:val="1a202c"/>
          <w:sz w:val="21"/>
          <w:szCs w:val="21"/>
        </w:rPr>
        <w:t xml:space="preserve">Formal declaration that the current sealed contracts no longer serve the system's purpose</w:t>
      </w:r>
    </w:p>
    <w:p>
      <w:pPr>
        <w:pStyle w:val="ListParagraph"/>
        <w:numPr>
          <w:ilvl w:val="0"/>
          <w:numId w:val="2"/>
        </w:numPr>
        <w:spacing w:after="70"/>
      </w:pPr>
      <w:r>
        <w:rPr>
          <w:rFonts w:ascii="Arial" w:cs="Arial" w:eastAsia="Arial" w:hAnsi="Arial"/>
          <w:color w:val="1a202c"/>
          <w:sz w:val="21"/>
          <w:szCs w:val="21"/>
        </w:rPr>
        <w:t xml:space="preserve">A proposal period (typically 60-90 days) during which a replacement contract set is designed</w:t>
      </w:r>
    </w:p>
    <w:p>
      <w:pPr>
        <w:pStyle w:val="ListParagraph"/>
        <w:numPr>
          <w:ilvl w:val="0"/>
          <w:numId w:val="2"/>
        </w:numPr>
        <w:spacing w:after="70"/>
      </w:pPr>
      <w:r>
        <w:rPr>
          <w:rFonts w:ascii="Arial" w:cs="Arial" w:eastAsia="Arial" w:hAnsi="Arial"/>
          <w:color w:val="1a202c"/>
          <w:sz w:val="21"/>
          <w:szCs w:val="21"/>
        </w:rPr>
        <w:t xml:space="preserve">Sealed Review Board approval of the replacement set</w:t>
      </w:r>
    </w:p>
    <w:p>
      <w:pPr>
        <w:pStyle w:val="ListParagraph"/>
        <w:numPr>
          <w:ilvl w:val="0"/>
          <w:numId w:val="2"/>
        </w:numPr>
        <w:spacing w:after="70"/>
      </w:pPr>
      <w:r>
        <w:rPr>
          <w:rFonts w:ascii="Arial" w:cs="Arial" w:eastAsia="Arial" w:hAnsi="Arial"/>
          <w:color w:val="1a202c"/>
          <w:sz w:val="21"/>
          <w:szCs w:val="21"/>
        </w:rPr>
        <w:t xml:space="preserve">A parallel-live transition period</w:t>
      </w:r>
    </w:p>
    <w:p>
      <w:pPr>
        <w:pStyle w:val="ListParagraph"/>
        <w:numPr>
          <w:ilvl w:val="0"/>
          <w:numId w:val="2"/>
        </w:numPr>
        <w:spacing w:after="70"/>
      </w:pPr>
      <w:r>
        <w:rPr>
          <w:rFonts w:ascii="Arial" w:cs="Arial" w:eastAsia="Arial" w:hAnsi="Arial"/>
          <w:color w:val="1a202c"/>
          <w:sz w:val="21"/>
          <w:szCs w:val="21"/>
        </w:rPr>
        <w:t xml:space="preserve">Retirement ceremony for the original contracts — preserved in archival form with full history</w:t>
      </w:r>
    </w:p>
    <w:p>
      <w:pPr>
        <w:pStyle w:val="ListParagraph"/>
        <w:numPr>
          <w:ilvl w:val="0"/>
          <w:numId w:val="2"/>
        </w:numPr>
        <w:spacing w:after="70"/>
      </w:pPr>
      <w:r>
        <w:rPr>
          <w:rFonts w:ascii="Arial" w:cs="Arial" w:eastAsia="Arial" w:hAnsi="Arial"/>
          <w:color w:val="1a202c"/>
          <w:sz w:val="21"/>
          <w:szCs w:val="21"/>
        </w:rPr>
        <w:t xml:space="preserve">Formal version increment at the architectural level</w:t>
      </w:r>
    </w:p>
    <w:p>
      <w:pPr>
        <w:spacing w:after="140"/>
        <w:jc w:val="both"/>
      </w:pPr>
      <w:r>
        <w:rPr>
          <w:rFonts w:ascii="Arial" w:cs="Arial" w:eastAsia="Arial" w:hAnsi="Arial"/>
          <w:color w:val="1a202c"/>
          <w:sz w:val="21"/>
          <w:szCs w:val="21"/>
        </w:rPr>
        <w:t xml:space="preserve">Major Version Bumps are costly and rare. An enterprise system might undergo one every five to seven years, at most. They are how sealed systems accommodate genuine transformation — such as the shift from physical-paper business models to digital, or from on-premise to cloud, or from human-operated to AI-augmented. The ceremony is deliberate. The alternative is accumulating contradictions silently until the system collapses under its own incoherence.</w:t>
      </w:r>
    </w:p>
    <w:p>
      <w:pPr>
        <w:pStyle w:val="Heading2"/>
        <w:spacing w:after="100" w:before="320"/>
      </w:pPr>
      <w:r>
        <w:rPr>
          <w:rFonts w:ascii="Arial" w:cs="Arial" w:eastAsia="Arial" w:hAnsi="Arial"/>
          <w:b/>
          <w:bCs/>
          <w:color w:val="1a202c"/>
          <w:sz w:val="28"/>
          <w:szCs w:val="28"/>
        </w:rPr>
        <w:t xml:space="preserve">9.7 How the Layers Interact</w:t>
      </w:r>
    </w:p>
    <w:p>
      <w:pPr>
        <w:spacing w:after="140"/>
        <w:jc w:val="both"/>
      </w:pPr>
      <w:r>
        <w:rPr>
          <w:rFonts w:ascii="Arial" w:cs="Arial" w:eastAsia="Arial" w:hAnsi="Arial"/>
          <w:color w:val="1a202c"/>
          <w:sz w:val="21"/>
          <w:szCs w:val="21"/>
        </w:rPr>
        <w:t xml:space="preserve">The five layers are not modular. They work as a system:</w:t>
      </w:r>
    </w:p>
    <w:p>
      <w:pPr>
        <w:pStyle w:val="ListParagraph"/>
        <w:numPr>
          <w:ilvl w:val="0"/>
          <w:numId w:val="3"/>
        </w:numPr>
        <w:spacing w:after="70"/>
      </w:pPr>
      <w:r>
        <w:rPr>
          <w:rFonts w:ascii="Arial" w:cs="Arial" w:eastAsia="Arial" w:hAnsi="Arial"/>
          <w:color w:val="1a202c"/>
          <w:sz w:val="21"/>
          <w:szCs w:val="21"/>
        </w:rPr>
        <w:t xml:space="preserve">Layer 1 (contracts) cannot exist without Layer 2 (intent) — an unmotivated contract has no defensible invariants</w:t>
      </w:r>
    </w:p>
    <w:p>
      <w:pPr>
        <w:pStyle w:val="ListParagraph"/>
        <w:numPr>
          <w:ilvl w:val="0"/>
          <w:numId w:val="3"/>
        </w:numPr>
        <w:spacing w:after="70"/>
      </w:pPr>
      <w:r>
        <w:rPr>
          <w:rFonts w:ascii="Arial" w:cs="Arial" w:eastAsia="Arial" w:hAnsi="Arial"/>
          <w:color w:val="1a202c"/>
          <w:sz w:val="21"/>
          <w:szCs w:val="21"/>
        </w:rPr>
        <w:t xml:space="preserve">Layer 3 (verification) cannot exist without Layer 1 — there is nothing to verify against</w:t>
      </w:r>
    </w:p>
    <w:p>
      <w:pPr>
        <w:pStyle w:val="ListParagraph"/>
        <w:numPr>
          <w:ilvl w:val="0"/>
          <w:numId w:val="3"/>
        </w:numPr>
        <w:spacing w:after="70"/>
      </w:pPr>
      <w:r>
        <w:rPr>
          <w:rFonts w:ascii="Arial" w:cs="Arial" w:eastAsia="Arial" w:hAnsi="Arial"/>
          <w:color w:val="1a202c"/>
          <w:sz w:val="21"/>
          <w:szCs w:val="21"/>
        </w:rPr>
        <w:t xml:space="preserve">Layer 4 (governance) cannot exist without Layers 1, 2, and 3 — there is nothing to govern</w:t>
      </w:r>
    </w:p>
    <w:p>
      <w:pPr>
        <w:pStyle w:val="ListParagraph"/>
        <w:numPr>
          <w:ilvl w:val="0"/>
          <w:numId w:val="3"/>
        </w:numPr>
        <w:spacing w:after="70"/>
      </w:pPr>
      <w:r>
        <w:rPr>
          <w:rFonts w:ascii="Arial" w:cs="Arial" w:eastAsia="Arial" w:hAnsi="Arial"/>
          <w:color w:val="1a202c"/>
          <w:sz w:val="21"/>
          <w:szCs w:val="21"/>
        </w:rPr>
        <w:t xml:space="preserve">Layer 5 (evolution) operates across all layers — any change affects contracts, intent, verifiers, and governance simultaneously</w:t>
      </w:r>
    </w:p>
    <w:p>
      <w:pPr>
        <w:spacing w:after="140"/>
        <w:jc w:val="both"/>
      </w:pPr>
      <w:r>
        <w:rPr>
          <w:rFonts w:ascii="Arial" w:cs="Arial" w:eastAsia="Arial" w:hAnsi="Arial"/>
          <w:color w:val="1a202c"/>
          <w:sz w:val="21"/>
          <w:szCs w:val="21"/>
        </w:rPr>
        <w:t xml:space="preserve">This is why partial adoption of SEA does not provide partial benefit. An organisation that adopts contract definition without intent capture produces inscrutable contracts. An organisation that adopts contracts without governance produces orphaned artefacts. The layers protect each other; removing any one breaks the protection of the others.</w:t>
      </w:r>
    </w:p>
    <w:p>
      <w:r>
        <w:br w:type="page"/>
      </w:r>
    </w:p>
    <w:p>
      <w:pPr>
        <w:pStyle w:val="Heading1"/>
        <w:spacing w:after="160" w:before="480"/>
      </w:pPr>
      <w:r>
        <w:rPr>
          <w:rFonts w:ascii="Arial" w:cs="Arial" w:eastAsia="Arial" w:hAnsi="Arial"/>
          <w:b/>
          <w:bCs/>
          <w:color w:val="002b4d"/>
          <w:sz w:val="38"/>
          <w:szCs w:val="38"/>
        </w:rPr>
        <w:t xml:space="preserve">10. The Sealed Contract Format</w:t>
      </w:r>
    </w:p>
    <w:p>
      <w:pPr>
        <w:spacing w:after="140"/>
        <w:jc w:val="both"/>
      </w:pPr>
      <w:r>
        <w:rPr>
          <w:rFonts w:ascii="Arial" w:cs="Arial" w:eastAsia="Arial" w:hAnsi="Arial"/>
          <w:color w:val="1a202c"/>
          <w:sz w:val="21"/>
          <w:szCs w:val="21"/>
        </w:rPr>
        <w:t xml:space="preserve">This section specifies the reference format for sealed contracts. The format is deliberately minimal — it contains what is necessary for the contract to serve its architectural role and no more. Organisations adopting SEA may extend the format with additional fields as long as the core fields remain present and semantically unchanged.</w:t>
      </w:r>
    </w:p>
    <w:p>
      <w:pPr>
        <w:spacing w:after="140"/>
        <w:jc w:val="both"/>
      </w:pPr>
      <w:r>
        <w:rPr>
          <w:rFonts w:ascii="Arial" w:cs="Arial" w:eastAsia="Arial" w:hAnsi="Arial"/>
          <w:color w:val="1a202c"/>
          <w:sz w:val="21"/>
          <w:szCs w:val="21"/>
        </w:rPr>
        <w:t xml:space="preserve">The format is YAML, chosen for human readability, machine parseability, and portability across tool chains. JSON is acceptable as an alternative. Language-native formats (Java annotations, TypeScript interfaces) are not acceptable — they fail Principle 6 (portability).</w:t>
      </w:r>
    </w:p>
    <w:p>
      <w:pPr>
        <w:pStyle w:val="Heading2"/>
        <w:spacing w:after="100" w:before="320"/>
      </w:pPr>
      <w:r>
        <w:rPr>
          <w:rFonts w:ascii="Arial" w:cs="Arial" w:eastAsia="Arial" w:hAnsi="Arial"/>
          <w:b/>
          <w:bCs/>
          <w:color w:val="1a202c"/>
          <w:sz w:val="28"/>
          <w:szCs w:val="28"/>
        </w:rPr>
        <w:t xml:space="preserve">10.1 The Canonical Schema</w:t>
      </w:r>
    </w:p>
    <w:p>
      <w:pPr>
        <w:spacing w:after="140"/>
        <w:jc w:val="both"/>
      </w:pPr>
      <w:r>
        <w:rPr>
          <w:rFonts w:ascii="Arial" w:cs="Arial" w:eastAsia="Arial" w:hAnsi="Arial"/>
          <w:color w:val="1a202c"/>
          <w:sz w:val="21"/>
          <w:szCs w:val="21"/>
        </w:rPr>
        <w:t xml:space="preserve">A sealed contract has the following structure. All fields are required unless marked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 sealed-contract.yaml — canonical schema</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seal_id: string                 # Globally unique, stable identifier</w:t>
            </w:r>
          </w:p>
          <w:p>
            <w:pPr>
              <w:spacing w:after="40"/>
            </w:pPr>
            <w:r>
              <w:rPr>
                <w:rFonts w:ascii="Consolas" w:cs="Consolas" w:eastAsia="Consolas" w:hAnsi="Consolas"/>
                <w:color w:val="1a202c"/>
                <w:sz w:val="18"/>
                <w:szCs w:val="18"/>
              </w:rPr>
              <w:t xml:space="preserve">                                # e.g. "auth.user_session.v1"</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version: integer                # Contract version, not implementation</w:t>
            </w:r>
          </w:p>
          <w:p>
            <w:pPr>
              <w:spacing w:after="40"/>
            </w:pPr>
            <w:r>
              <w:rPr>
                <w:rFonts w:ascii="Consolas" w:cs="Consolas" w:eastAsia="Consolas" w:hAnsi="Consolas"/>
                <w:color w:val="1a202c"/>
                <w:sz w:val="18"/>
                <w:szCs w:val="18"/>
              </w:rPr>
              <w:t xml:space="preserve">                                # Increments only on parallel-live replacement</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status: enum                    # proposed | sealed | parallel-live |</w:t>
            </w:r>
          </w:p>
          <w:p>
            <w:pPr>
              <w:spacing w:after="40"/>
            </w:pPr>
            <w:r>
              <w:rPr>
                <w:rFonts w:ascii="Consolas" w:cs="Consolas" w:eastAsia="Consolas" w:hAnsi="Consolas"/>
                <w:color w:val="1a202c"/>
                <w:sz w:val="18"/>
                <w:szCs w:val="18"/>
              </w:rPr>
              <w:t xml:space="preserve">                                # deprecated | retired</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sealed_date: ISO-8601 date      # When this contract was sealed</w:t>
            </w:r>
          </w:p>
          <w:p>
            <w:pPr>
              <w:spacing w:after="40"/>
            </w:pPr>
            <w:r>
              <w:rPr>
                <w:rFonts w:ascii="Consolas" w:cs="Consolas" w:eastAsia="Consolas" w:hAnsi="Consolas"/>
                <w:color w:val="1a202c"/>
                <w:sz w:val="18"/>
                <w:szCs w:val="18"/>
              </w:rPr>
              <w:t xml:space="preserve">sealed_by: string               # The original Contract Owner</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current_owner: string           # The CURRENT Contract Owner</w:t>
            </w:r>
          </w:p>
          <w:p>
            <w:pPr>
              <w:spacing w:after="40"/>
            </w:pPr>
            <w:r>
              <w:rPr>
                <w:rFonts w:ascii="Consolas" w:cs="Consolas" w:eastAsia="Consolas" w:hAnsi="Consolas"/>
                <w:color w:val="1a202c"/>
                <w:sz w:val="18"/>
                <w:szCs w:val="18"/>
              </w:rPr>
              <w:t xml:space="preserve">current_reviewer: string        # The CURRENT Contract Reviewer</w:t>
            </w:r>
          </w:p>
          <w:p>
            <w:pPr>
              <w:spacing w:after="40"/>
            </w:pPr>
            <w:r>
              <w:rPr>
                <w:rFonts w:ascii="Consolas" w:cs="Consolas" w:eastAsia="Consolas" w:hAnsi="Consolas"/>
                <w:color w:val="1a202c"/>
                <w:sz w:val="18"/>
                <w:szCs w:val="18"/>
              </w:rPr>
              <w:t xml:space="preserve">governance_body: string         # Which Sealed Review Board governs this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intent_document: path           # Relative path to the Intent Document</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interface:                      # The structural contract</w:t>
            </w:r>
          </w:p>
          <w:p>
            <w:pPr>
              <w:spacing w:after="40"/>
            </w:pPr>
            <w:r>
              <w:rPr>
                <w:rFonts w:ascii="Consolas" w:cs="Consolas" w:eastAsia="Consolas" w:hAnsi="Consolas"/>
                <w:color w:val="1a202c"/>
                <w:sz w:val="18"/>
                <w:szCs w:val="18"/>
              </w:rPr>
              <w:t xml:space="preserve">  operations:</w:t>
            </w:r>
          </w:p>
          <w:p>
            <w:pPr>
              <w:spacing w:after="40"/>
            </w:pPr>
            <w:r>
              <w:rPr>
                <w:rFonts w:ascii="Consolas" w:cs="Consolas" w:eastAsia="Consolas" w:hAnsi="Consolas"/>
                <w:color w:val="1a202c"/>
                <w:sz w:val="18"/>
                <w:szCs w:val="18"/>
              </w:rPr>
              <w:t xml:space="preserve">    - name: string              # Operation name</w:t>
            </w:r>
          </w:p>
          <w:p>
            <w:pPr>
              <w:spacing w:after="40"/>
            </w:pPr>
            <w:r>
              <w:rPr>
                <w:rFonts w:ascii="Consolas" w:cs="Consolas" w:eastAsia="Consolas" w:hAnsi="Consolas"/>
                <w:color w:val="1a202c"/>
                <w:sz w:val="18"/>
                <w:szCs w:val="18"/>
              </w:rPr>
              <w:t xml:space="preserve">      inputs: [type-list]       # Typed input parameters</w:t>
            </w:r>
          </w:p>
          <w:p>
            <w:pPr>
              <w:spacing w:after="40"/>
            </w:pPr>
            <w:r>
              <w:rPr>
                <w:rFonts w:ascii="Consolas" w:cs="Consolas" w:eastAsia="Consolas" w:hAnsi="Consolas"/>
                <w:color w:val="1a202c"/>
                <w:sz w:val="18"/>
                <w:szCs w:val="18"/>
              </w:rPr>
              <w:t xml:space="preserve">      outputs: [type-list]      # Typed return values</w:t>
            </w:r>
          </w:p>
          <w:p>
            <w:pPr>
              <w:spacing w:after="40"/>
            </w:pPr>
            <w:r>
              <w:rPr>
                <w:rFonts w:ascii="Consolas" w:cs="Consolas" w:eastAsia="Consolas" w:hAnsi="Consolas"/>
                <w:color w:val="1a202c"/>
                <w:sz w:val="18"/>
                <w:szCs w:val="18"/>
              </w:rPr>
              <w:t xml:space="preserve">      preconditions: [string]   # Optional: preconditions</w:t>
            </w:r>
          </w:p>
          <w:p>
            <w:pPr>
              <w:spacing w:after="40"/>
            </w:pPr>
            <w:r>
              <w:rPr>
                <w:rFonts w:ascii="Consolas" w:cs="Consolas" w:eastAsia="Consolas" w:hAnsi="Consolas"/>
                <w:color w:val="1a202c"/>
                <w:sz w:val="18"/>
                <w:szCs w:val="18"/>
              </w:rPr>
              <w:t xml:space="preserve">      postconditions: [string]  # Optional: postconditions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invariants:                     # Properties that must always hold</w:t>
            </w:r>
          </w:p>
          <w:p>
            <w:pPr>
              <w:spacing w:after="40"/>
            </w:pPr>
            <w:r>
              <w:rPr>
                <w:rFonts w:ascii="Consolas" w:cs="Consolas" w:eastAsia="Consolas" w:hAnsi="Consolas"/>
                <w:color w:val="1a202c"/>
                <w:sz w:val="18"/>
                <w:szCs w:val="18"/>
              </w:rPr>
              <w:t xml:space="preserve">  - id: string                  # Invariant ID for cross-reference</w:t>
            </w:r>
          </w:p>
          <w:p>
            <w:pPr>
              <w:spacing w:after="40"/>
            </w:pPr>
            <w:r>
              <w:rPr>
                <w:rFonts w:ascii="Consolas" w:cs="Consolas" w:eastAsia="Consolas" w:hAnsi="Consolas"/>
                <w:color w:val="1a202c"/>
                <w:sz w:val="18"/>
                <w:szCs w:val="18"/>
              </w:rPr>
              <w:t xml:space="preserve">    statement: string           # Plain-language statement</w:t>
            </w:r>
          </w:p>
          <w:p>
            <w:pPr>
              <w:spacing w:after="40"/>
            </w:pPr>
            <w:r>
              <w:rPr>
                <w:rFonts w:ascii="Consolas" w:cs="Consolas" w:eastAsia="Consolas" w:hAnsi="Consolas"/>
                <w:color w:val="1a202c"/>
                <w:sz w:val="18"/>
                <w:szCs w:val="18"/>
              </w:rPr>
              <w:t xml:space="preserve">    rationale: string           # Why this invariant exists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extension_policy:</w:t>
            </w:r>
          </w:p>
          <w:p>
            <w:pPr>
              <w:spacing w:after="40"/>
            </w:pPr>
            <w:r>
              <w:rPr>
                <w:rFonts w:ascii="Consolas" w:cs="Consolas" w:eastAsia="Consolas" w:hAnsi="Consolas"/>
                <w:color w:val="1a202c"/>
                <w:sz w:val="18"/>
                <w:szCs w:val="18"/>
              </w:rPr>
              <w:t xml:space="preserve">  permitted:                    # What kinds of extension are allowed</w:t>
            </w:r>
          </w:p>
          <w:p>
            <w:pPr>
              <w:spacing w:after="40"/>
            </w:pPr>
            <w:r>
              <w:rPr>
                <w:rFonts w:ascii="Consolas" w:cs="Consolas" w:eastAsia="Consolas" w:hAnsi="Consolas"/>
                <w:color w:val="1a202c"/>
                <w:sz w:val="18"/>
                <w:szCs w:val="18"/>
              </w:rPr>
              <w:t xml:space="preserve">    - string</w:t>
            </w:r>
          </w:p>
          <w:p>
            <w:pPr>
              <w:spacing w:after="40"/>
            </w:pPr>
            <w:r>
              <w:rPr>
                <w:rFonts w:ascii="Consolas" w:cs="Consolas" w:eastAsia="Consolas" w:hAnsi="Consolas"/>
                <w:color w:val="1a202c"/>
                <w:sz w:val="18"/>
                <w:szCs w:val="18"/>
              </w:rPr>
              <w:t xml:space="preserve">  forbidden:                    # What kinds of extension are prohibited</w:t>
            </w:r>
          </w:p>
          <w:p>
            <w:pPr>
              <w:spacing w:after="40"/>
            </w:pPr>
            <w:r>
              <w:rPr>
                <w:rFonts w:ascii="Consolas" w:cs="Consolas" w:eastAsia="Consolas" w:hAnsi="Consolas"/>
                <w:color w:val="1a202c"/>
                <w:sz w:val="18"/>
                <w:szCs w:val="18"/>
              </w:rPr>
              <w:t xml:space="preserve">    - string</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dependencies:                   # Other sealed contracts this depends on</w:t>
            </w:r>
          </w:p>
          <w:p>
            <w:pPr>
              <w:spacing w:after="40"/>
            </w:pPr>
            <w:r>
              <w:rPr>
                <w:rFonts w:ascii="Consolas" w:cs="Consolas" w:eastAsia="Consolas" w:hAnsi="Consolas"/>
                <w:color w:val="1a202c"/>
                <w:sz w:val="18"/>
                <w:szCs w:val="18"/>
              </w:rPr>
              <w:t xml:space="preserve">  - seal_id: string</w:t>
            </w:r>
          </w:p>
          <w:p>
            <w:pPr>
              <w:spacing w:after="40"/>
            </w:pPr>
            <w:r>
              <w:rPr>
                <w:rFonts w:ascii="Consolas" w:cs="Consolas" w:eastAsia="Consolas" w:hAnsi="Consolas"/>
                <w:color w:val="1a202c"/>
                <w:sz w:val="18"/>
                <w:szCs w:val="18"/>
              </w:rPr>
              <w:t xml:space="preserve">    version: integer</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supersedes: optional            # Only present on parallel-live replacements</w:t>
            </w:r>
          </w:p>
          <w:p>
            <w:pPr>
              <w:spacing w:after="40"/>
            </w:pPr>
            <w:r>
              <w:rPr>
                <w:rFonts w:ascii="Consolas" w:cs="Consolas" w:eastAsia="Consolas" w:hAnsi="Consolas"/>
                <w:color w:val="1a202c"/>
                <w:sz w:val="18"/>
                <w:szCs w:val="18"/>
              </w:rPr>
              <w:t xml:space="preserve">  - seal_id: string</w:t>
            </w:r>
          </w:p>
          <w:p>
            <w:pPr>
              <w:spacing w:after="40"/>
            </w:pPr>
            <w:r>
              <w:rPr>
                <w:rFonts w:ascii="Consolas" w:cs="Consolas" w:eastAsia="Consolas" w:hAnsi="Consolas"/>
                <w:color w:val="1a202c"/>
                <w:sz w:val="18"/>
                <w:szCs w:val="18"/>
              </w:rPr>
              <w:t xml:space="preserve">    version: integer</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change_history:                 # Append-only change log</w:t>
            </w:r>
          </w:p>
          <w:p>
            <w:pPr>
              <w:spacing w:after="40"/>
            </w:pPr>
            <w:r>
              <w:rPr>
                <w:rFonts w:ascii="Consolas" w:cs="Consolas" w:eastAsia="Consolas" w:hAnsi="Consolas"/>
                <w:color w:val="1a202c"/>
                <w:sz w:val="18"/>
                <w:szCs w:val="18"/>
              </w:rPr>
              <w:t xml:space="preserve">  - date: ISO-8601 date</w:t>
            </w:r>
          </w:p>
          <w:p>
            <w:pPr>
              <w:spacing w:after="40"/>
            </w:pPr>
            <w:r>
              <w:rPr>
                <w:rFonts w:ascii="Consolas" w:cs="Consolas" w:eastAsia="Consolas" w:hAnsi="Consolas"/>
                <w:color w:val="1a202c"/>
                <w:sz w:val="18"/>
                <w:szCs w:val="18"/>
              </w:rPr>
              <w:t xml:space="preserve">    action: enum                # sealed | extended | marked-parallel-live |</w:t>
            </w:r>
          </w:p>
          <w:p>
            <w:pPr>
              <w:spacing w:after="40"/>
            </w:pPr>
            <w:r>
              <w:rPr>
                <w:rFonts w:ascii="Consolas" w:cs="Consolas" w:eastAsia="Consolas" w:hAnsi="Consolas"/>
                <w:color w:val="1a202c"/>
                <w:sz w:val="18"/>
                <w:szCs w:val="18"/>
              </w:rPr>
              <w:t xml:space="preserve">                                # deprecated | retired</w:t>
            </w:r>
          </w:p>
          <w:p>
            <w:pPr>
              <w:spacing w:after="40"/>
            </w:pPr>
            <w:r>
              <w:rPr>
                <w:rFonts w:ascii="Consolas" w:cs="Consolas" w:eastAsia="Consolas" w:hAnsi="Consolas"/>
                <w:color w:val="1a202c"/>
                <w:sz w:val="18"/>
                <w:szCs w:val="18"/>
              </w:rPr>
              <w:t xml:space="preserve">    by: string                  # Person or body authorising</w:t>
            </w:r>
          </w:p>
          <w:p>
            <w:pPr>
              <w:spacing w:after="40"/>
            </w:pPr>
            <w:r>
              <w:rPr>
                <w:rFonts w:ascii="Consolas" w:cs="Consolas" w:eastAsia="Consolas" w:hAnsi="Consolas"/>
                <w:color w:val="1a202c"/>
                <w:sz w:val="18"/>
                <w:szCs w:val="18"/>
              </w:rPr>
              <w:t xml:space="preserve">    notes: string               # What changed</w:t>
            </w:r>
          </w:p>
        </w:tc>
      </w:tr>
    </w:tbl>
    <w:p>
      <w:pPr>
        <w:pStyle w:val="Heading2"/>
        <w:spacing w:after="100" w:before="320"/>
      </w:pPr>
      <w:r>
        <w:rPr>
          <w:rFonts w:ascii="Arial" w:cs="Arial" w:eastAsia="Arial" w:hAnsi="Arial"/>
          <w:b/>
          <w:bCs/>
          <w:color w:val="1a202c"/>
          <w:sz w:val="28"/>
          <w:szCs w:val="28"/>
        </w:rPr>
        <w:t xml:space="preserve">10.2 A Worked Example</w:t>
      </w:r>
    </w:p>
    <w:p>
      <w:pPr>
        <w:spacing w:after="140"/>
        <w:jc w:val="both"/>
      </w:pPr>
      <w:r>
        <w:rPr>
          <w:rFonts w:ascii="Arial" w:cs="Arial" w:eastAsia="Arial" w:hAnsi="Arial"/>
          <w:color w:val="1a202c"/>
          <w:sz w:val="21"/>
          <w:szCs w:val="21"/>
        </w:rPr>
        <w:t xml:space="preserve">To make the schema concrete, here is a complete example contract for a simplified authentication session component. This is the kind of contract an enterprise SaaS platform might seal early in its architectural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seal_id: auth.user_session.v1</w:t>
            </w:r>
          </w:p>
          <w:p>
            <w:pPr>
              <w:spacing w:after="40"/>
            </w:pPr>
            <w:r>
              <w:rPr>
                <w:rFonts w:ascii="Consolas" w:cs="Consolas" w:eastAsia="Consolas" w:hAnsi="Consolas"/>
                <w:color w:val="1a202c"/>
                <w:sz w:val="18"/>
                <w:szCs w:val="18"/>
              </w:rPr>
              <w:t xml:space="preserve">version: 1</w:t>
            </w:r>
          </w:p>
          <w:p>
            <w:pPr>
              <w:spacing w:after="40"/>
            </w:pPr>
            <w:r>
              <w:rPr>
                <w:rFonts w:ascii="Consolas" w:cs="Consolas" w:eastAsia="Consolas" w:hAnsi="Consolas"/>
                <w:color w:val="1a202c"/>
                <w:sz w:val="18"/>
                <w:szCs w:val="18"/>
              </w:rPr>
              <w:t xml:space="preserve">status: sealed</w:t>
            </w:r>
          </w:p>
          <w:p>
            <w:pPr>
              <w:spacing w:after="40"/>
            </w:pPr>
            <w:r>
              <w:rPr>
                <w:rFonts w:ascii="Consolas" w:cs="Consolas" w:eastAsia="Consolas" w:hAnsi="Consolas"/>
                <w:color w:val="1a202c"/>
                <w:sz w:val="18"/>
                <w:szCs w:val="18"/>
              </w:rPr>
              <w:t xml:space="preserve">sealed_date: 2026-04-22</w:t>
            </w:r>
          </w:p>
          <w:p>
            <w:pPr>
              <w:spacing w:after="40"/>
            </w:pPr>
            <w:r>
              <w:rPr>
                <w:rFonts w:ascii="Consolas" w:cs="Consolas" w:eastAsia="Consolas" w:hAnsi="Consolas"/>
                <w:color w:val="1a202c"/>
                <w:sz w:val="18"/>
                <w:szCs w:val="18"/>
              </w:rPr>
              <w:t xml:space="preserve">sealed_by: Suneesh Sidharthan</w:t>
            </w:r>
          </w:p>
          <w:p>
            <w:pPr>
              <w:spacing w:after="40"/>
            </w:pPr>
            <w:r>
              <w:rPr>
                <w:rFonts w:ascii="Consolas" w:cs="Consolas" w:eastAsia="Consolas" w:hAnsi="Consolas"/>
                <w:color w:val="1a202c"/>
                <w:sz w:val="18"/>
                <w:szCs w:val="18"/>
              </w:rPr>
              <w:t xml:space="preserve">current_owner: Suneesh Sidharthan</w:t>
            </w:r>
          </w:p>
          <w:p>
            <w:pPr>
              <w:spacing w:after="40"/>
            </w:pPr>
            <w:r>
              <w:rPr>
                <w:rFonts w:ascii="Consolas" w:cs="Consolas" w:eastAsia="Consolas" w:hAnsi="Consolas"/>
                <w:color w:val="1a202c"/>
                <w:sz w:val="18"/>
                <w:szCs w:val="18"/>
              </w:rPr>
              <w:t xml:space="preserve">current_reviewer: Platform-Architect-Rotation</w:t>
            </w:r>
          </w:p>
          <w:p>
            <w:pPr>
              <w:spacing w:after="40"/>
            </w:pPr>
            <w:r>
              <w:rPr>
                <w:rFonts w:ascii="Consolas" w:cs="Consolas" w:eastAsia="Consolas" w:hAnsi="Consolas"/>
                <w:color w:val="1a202c"/>
                <w:sz w:val="18"/>
                <w:szCs w:val="18"/>
              </w:rPr>
              <w:t xml:space="preserve">governance_body: Authentication-SRB</w:t>
            </w:r>
          </w:p>
          <w:p>
            <w:pPr>
              <w:spacing w:after="40"/>
            </w:pPr>
            <w:r>
              <w:rPr>
                <w:rFonts w:ascii="Consolas" w:cs="Consolas" w:eastAsia="Consolas" w:hAnsi="Consolas"/>
                <w:color w:val="1a202c"/>
                <w:sz w:val="18"/>
                <w:szCs w:val="18"/>
              </w:rPr>
              <w:t xml:space="preserve">intent_document: ./intent/auth-user-session-v1.md</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interface:</w:t>
            </w:r>
          </w:p>
          <w:p>
            <w:pPr>
              <w:spacing w:after="40"/>
            </w:pPr>
            <w:r>
              <w:rPr>
                <w:rFonts w:ascii="Consolas" w:cs="Consolas" w:eastAsia="Consolas" w:hAnsi="Consolas"/>
                <w:color w:val="1a202c"/>
                <w:sz w:val="18"/>
                <w:szCs w:val="18"/>
              </w:rPr>
              <w:t xml:space="preserve">  operations:</w:t>
            </w:r>
          </w:p>
          <w:p>
            <w:pPr>
              <w:spacing w:after="40"/>
            </w:pPr>
            <w:r>
              <w:rPr>
                <w:rFonts w:ascii="Consolas" w:cs="Consolas" w:eastAsia="Consolas" w:hAnsi="Consolas"/>
                <w:color w:val="1a202c"/>
                <w:sz w:val="18"/>
                <w:szCs w:val="18"/>
              </w:rPr>
              <w:t xml:space="preserve">    - name: create_session</w:t>
            </w:r>
          </w:p>
          <w:p>
            <w:pPr>
              <w:spacing w:after="40"/>
            </w:pPr>
            <w:r>
              <w:rPr>
                <w:rFonts w:ascii="Consolas" w:cs="Consolas" w:eastAsia="Consolas" w:hAnsi="Consolas"/>
                <w:color w:val="1a202c"/>
                <w:sz w:val="18"/>
                <w:szCs w:val="18"/>
              </w:rPr>
              <w:t xml:space="preserve">      inputs:</w:t>
            </w:r>
          </w:p>
          <w:p>
            <w:pPr>
              <w:spacing w:after="40"/>
            </w:pPr>
            <w:r>
              <w:rPr>
                <w:rFonts w:ascii="Consolas" w:cs="Consolas" w:eastAsia="Consolas" w:hAnsi="Consolas"/>
                <w:color w:val="1a202c"/>
                <w:sz w:val="18"/>
                <w:szCs w:val="18"/>
              </w:rPr>
              <w:t xml:space="preserve">        - user_id: UserIdentifier</w:t>
            </w:r>
          </w:p>
          <w:p>
            <w:pPr>
              <w:spacing w:after="40"/>
            </w:pPr>
            <w:r>
              <w:rPr>
                <w:rFonts w:ascii="Consolas" w:cs="Consolas" w:eastAsia="Consolas" w:hAnsi="Consolas"/>
                <w:color w:val="1a202c"/>
                <w:sz w:val="18"/>
                <w:szCs w:val="18"/>
              </w:rPr>
              <w:t xml:space="preserve">        - device_fingerprint: DeviceFingerprint</w:t>
            </w:r>
          </w:p>
          <w:p>
            <w:pPr>
              <w:spacing w:after="40"/>
            </w:pPr>
            <w:r>
              <w:rPr>
                <w:rFonts w:ascii="Consolas" w:cs="Consolas" w:eastAsia="Consolas" w:hAnsi="Consolas"/>
                <w:color w:val="1a202c"/>
                <w:sz w:val="18"/>
                <w:szCs w:val="18"/>
              </w:rPr>
              <w:t xml:space="preserve">      outputs:</w:t>
            </w:r>
          </w:p>
          <w:p>
            <w:pPr>
              <w:spacing w:after="40"/>
            </w:pPr>
            <w:r>
              <w:rPr>
                <w:rFonts w:ascii="Consolas" w:cs="Consolas" w:eastAsia="Consolas" w:hAnsi="Consolas"/>
                <w:color w:val="1a202c"/>
                <w:sz w:val="18"/>
                <w:szCs w:val="18"/>
              </w:rPr>
              <w:t xml:space="preserve">        - session_token: OpaqueToken</w:t>
            </w:r>
          </w:p>
          <w:p>
            <w:pPr>
              <w:spacing w:after="40"/>
            </w:pPr>
            <w:r>
              <w:rPr>
                <w:rFonts w:ascii="Consolas" w:cs="Consolas" w:eastAsia="Consolas" w:hAnsi="Consolas"/>
                <w:color w:val="1a202c"/>
                <w:sz w:val="18"/>
                <w:szCs w:val="18"/>
              </w:rPr>
              <w:t xml:space="preserve">        - expires_at: Timestamp</w:t>
            </w:r>
          </w:p>
          <w:p>
            <w:pPr>
              <w:spacing w:after="40"/>
            </w:pPr>
            <w:r>
              <w:rPr>
                <w:rFonts w:ascii="Consolas" w:cs="Consolas" w:eastAsia="Consolas" w:hAnsi="Consolas"/>
                <w:color w:val="1a202c"/>
                <w:sz w:val="18"/>
                <w:szCs w:val="18"/>
              </w:rPr>
              <w:t xml:space="preserve">      preconditions:</w:t>
            </w:r>
          </w:p>
          <w:p>
            <w:pPr>
              <w:spacing w:after="40"/>
            </w:pPr>
            <w:r>
              <w:rPr>
                <w:rFonts w:ascii="Consolas" w:cs="Consolas" w:eastAsia="Consolas" w:hAnsi="Consolas"/>
                <w:color w:val="1a202c"/>
                <w:sz w:val="18"/>
                <w:szCs w:val="18"/>
              </w:rPr>
              <w:t xml:space="preserve">        - user_id is verified through an authenticated authority</w:t>
            </w:r>
          </w:p>
          <w:p>
            <w:pPr>
              <w:spacing w:after="40"/>
            </w:pPr>
            <w:r>
              <w:rPr>
                <w:rFonts w:ascii="Consolas" w:cs="Consolas" w:eastAsia="Consolas" w:hAnsi="Consolas"/>
                <w:color w:val="1a202c"/>
                <w:sz w:val="18"/>
                <w:szCs w:val="18"/>
              </w:rPr>
              <w:t xml:space="preserve">      postconditions:</w:t>
            </w:r>
          </w:p>
          <w:p>
            <w:pPr>
              <w:spacing w:after="40"/>
            </w:pPr>
            <w:r>
              <w:rPr>
                <w:rFonts w:ascii="Consolas" w:cs="Consolas" w:eastAsia="Consolas" w:hAnsi="Consolas"/>
                <w:color w:val="1a202c"/>
                <w:sz w:val="18"/>
                <w:szCs w:val="18"/>
              </w:rPr>
              <w:t xml:space="preserve">        - session_token is cryptographically opaque to the client</w:t>
            </w:r>
          </w:p>
          <w:p>
            <w:pPr>
              <w:spacing w:after="40"/>
            </w:pPr>
            <w:r>
              <w:rPr>
                <w:rFonts w:ascii="Consolas" w:cs="Consolas" w:eastAsia="Consolas" w:hAnsi="Consolas"/>
                <w:color w:val="1a202c"/>
                <w:sz w:val="18"/>
                <w:szCs w:val="18"/>
              </w:rPr>
              <w:t xml:space="preserve">        - session_token is associated with exactly one user_id</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 name: revoke_session</w:t>
            </w:r>
          </w:p>
          <w:p>
            <w:pPr>
              <w:spacing w:after="40"/>
            </w:pPr>
            <w:r>
              <w:rPr>
                <w:rFonts w:ascii="Consolas" w:cs="Consolas" w:eastAsia="Consolas" w:hAnsi="Consolas"/>
                <w:color w:val="1a202c"/>
                <w:sz w:val="18"/>
                <w:szCs w:val="18"/>
              </w:rPr>
              <w:t xml:space="preserve">      inputs:</w:t>
            </w:r>
          </w:p>
          <w:p>
            <w:pPr>
              <w:spacing w:after="40"/>
            </w:pPr>
            <w:r>
              <w:rPr>
                <w:rFonts w:ascii="Consolas" w:cs="Consolas" w:eastAsia="Consolas" w:hAnsi="Consolas"/>
                <w:color w:val="1a202c"/>
                <w:sz w:val="18"/>
                <w:szCs w:val="18"/>
              </w:rPr>
              <w:t xml:space="preserve">        - session_token: OpaqueToken</w:t>
            </w:r>
          </w:p>
          <w:p>
            <w:pPr>
              <w:spacing w:after="40"/>
            </w:pPr>
            <w:r>
              <w:rPr>
                <w:rFonts w:ascii="Consolas" w:cs="Consolas" w:eastAsia="Consolas" w:hAnsi="Consolas"/>
                <w:color w:val="1a202c"/>
                <w:sz w:val="18"/>
                <w:szCs w:val="18"/>
              </w:rPr>
              <w:t xml:space="preserve">      outputs:</w:t>
            </w:r>
          </w:p>
          <w:p>
            <w:pPr>
              <w:spacing w:after="40"/>
            </w:pPr>
            <w:r>
              <w:rPr>
                <w:rFonts w:ascii="Consolas" w:cs="Consolas" w:eastAsia="Consolas" w:hAnsi="Consolas"/>
                <w:color w:val="1a202c"/>
                <w:sz w:val="18"/>
                <w:szCs w:val="18"/>
              </w:rPr>
              <w:t xml:space="preserve">        - revocation_confirmed: Boolean</w:t>
            </w:r>
          </w:p>
          <w:p>
            <w:pPr>
              <w:spacing w:after="40"/>
            </w:pPr>
            <w:r>
              <w:rPr>
                <w:rFonts w:ascii="Consolas" w:cs="Consolas" w:eastAsia="Consolas" w:hAnsi="Consolas"/>
                <w:color w:val="1a202c"/>
                <w:sz w:val="18"/>
                <w:szCs w:val="18"/>
              </w:rPr>
              <w:t xml:space="preserve">      postconditions:</w:t>
            </w:r>
          </w:p>
          <w:p>
            <w:pPr>
              <w:spacing w:after="40"/>
            </w:pPr>
            <w:r>
              <w:rPr>
                <w:rFonts w:ascii="Consolas" w:cs="Consolas" w:eastAsia="Consolas" w:hAnsi="Consolas"/>
                <w:color w:val="1a202c"/>
                <w:sz w:val="18"/>
                <w:szCs w:val="18"/>
              </w:rPr>
              <w:t xml:space="preserve">        - if output is true, token is atomically invalidated everywhere</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invariants:</w:t>
            </w:r>
          </w:p>
          <w:p>
            <w:pPr>
              <w:spacing w:after="40"/>
            </w:pPr>
            <w:r>
              <w:rPr>
                <w:rFonts w:ascii="Consolas" w:cs="Consolas" w:eastAsia="Consolas" w:hAnsi="Consolas"/>
                <w:color w:val="1a202c"/>
                <w:sz w:val="18"/>
                <w:szCs w:val="18"/>
              </w:rPr>
              <w:t xml:space="preserve">  - id: INV-1</w:t>
            </w:r>
          </w:p>
          <w:p>
            <w:pPr>
              <w:spacing w:after="40"/>
            </w:pPr>
            <w:r>
              <w:rPr>
                <w:rFonts w:ascii="Consolas" w:cs="Consolas" w:eastAsia="Consolas" w:hAnsi="Consolas"/>
                <w:color w:val="1a202c"/>
                <w:sz w:val="18"/>
                <w:szCs w:val="18"/>
              </w:rPr>
              <w:t xml:space="preserve">    statement: Session tokens are opaque to clients</w:t>
            </w:r>
          </w:p>
          <w:p>
            <w:pPr>
              <w:spacing w:after="40"/>
            </w:pPr>
            <w:r>
              <w:rPr>
                <w:rFonts w:ascii="Consolas" w:cs="Consolas" w:eastAsia="Consolas" w:hAnsi="Consolas"/>
                <w:color w:val="1a202c"/>
                <w:sz w:val="18"/>
                <w:szCs w:val="18"/>
              </w:rPr>
              <w:t xml:space="preserve">    rationale: Exposing user identifier in the token permits lateral</w:t>
            </w:r>
          </w:p>
          <w:p>
            <w:pPr>
              <w:spacing w:after="40"/>
            </w:pPr>
            <w:r>
              <w:rPr>
                <w:rFonts w:ascii="Consolas" w:cs="Consolas" w:eastAsia="Consolas" w:hAnsi="Consolas"/>
                <w:color w:val="1a202c"/>
                <w:sz w:val="18"/>
                <w:szCs w:val="18"/>
              </w:rPr>
              <w:t xml:space="preserve">               account compromise via token inspection.</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 id: INV-2</w:t>
            </w:r>
          </w:p>
          <w:p>
            <w:pPr>
              <w:spacing w:after="40"/>
            </w:pPr>
            <w:r>
              <w:rPr>
                <w:rFonts w:ascii="Consolas" w:cs="Consolas" w:eastAsia="Consolas" w:hAnsi="Consolas"/>
                <w:color w:val="1a202c"/>
                <w:sz w:val="18"/>
                <w:szCs w:val="18"/>
              </w:rPr>
              <w:t xml:space="preserve">    statement: Session revocation is atomic — cannot partially fail</w:t>
            </w:r>
          </w:p>
          <w:p>
            <w:pPr>
              <w:spacing w:after="40"/>
            </w:pPr>
            <w:r>
              <w:rPr>
                <w:rFonts w:ascii="Consolas" w:cs="Consolas" w:eastAsia="Consolas" w:hAnsi="Consolas"/>
                <w:color w:val="1a202c"/>
                <w:sz w:val="18"/>
                <w:szCs w:val="18"/>
              </w:rPr>
              <w:t xml:space="preserve">    rationale: Partial revocation leaves stale sessions that appear</w:t>
            </w:r>
          </w:p>
          <w:p>
            <w:pPr>
              <w:spacing w:after="40"/>
            </w:pPr>
            <w:r>
              <w:rPr>
                <w:rFonts w:ascii="Consolas" w:cs="Consolas" w:eastAsia="Consolas" w:hAnsi="Consolas"/>
                <w:color w:val="1a202c"/>
                <w:sz w:val="18"/>
                <w:szCs w:val="18"/>
              </w:rPr>
              <w:t xml:space="preserve">               valid to downstream services, breaking the security</w:t>
            </w:r>
          </w:p>
          <w:p>
            <w:pPr>
              <w:spacing w:after="40"/>
            </w:pPr>
            <w:r>
              <w:rPr>
                <w:rFonts w:ascii="Consolas" w:cs="Consolas" w:eastAsia="Consolas" w:hAnsi="Consolas"/>
                <w:color w:val="1a202c"/>
                <w:sz w:val="18"/>
                <w:szCs w:val="18"/>
              </w:rPr>
              <w:t xml:space="preserve">               guarantee of revocation itself.</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 id: INV-3</w:t>
            </w:r>
          </w:p>
          <w:p>
            <w:pPr>
              <w:spacing w:after="40"/>
            </w:pPr>
            <w:r>
              <w:rPr>
                <w:rFonts w:ascii="Consolas" w:cs="Consolas" w:eastAsia="Consolas" w:hAnsi="Consolas"/>
                <w:color w:val="1a202c"/>
                <w:sz w:val="18"/>
                <w:szCs w:val="18"/>
              </w:rPr>
              <w:t xml:space="preserve">    statement: A session must not outlive the user account it represents</w:t>
            </w:r>
          </w:p>
          <w:p>
            <w:pPr>
              <w:spacing w:after="40"/>
            </w:pPr>
            <w:r>
              <w:rPr>
                <w:rFonts w:ascii="Consolas" w:cs="Consolas" w:eastAsia="Consolas" w:hAnsi="Consolas"/>
                <w:color w:val="1a202c"/>
                <w:sz w:val="18"/>
                <w:szCs w:val="18"/>
              </w:rPr>
              <w:t xml:space="preserve">    rationale: Sessions tied to deleted accounts are an error state,</w:t>
            </w:r>
          </w:p>
          <w:p>
            <w:pPr>
              <w:spacing w:after="40"/>
            </w:pPr>
            <w:r>
              <w:rPr>
                <w:rFonts w:ascii="Consolas" w:cs="Consolas" w:eastAsia="Consolas" w:hAnsi="Consolas"/>
                <w:color w:val="1a202c"/>
                <w:sz w:val="18"/>
                <w:szCs w:val="18"/>
              </w:rPr>
              <w:t xml:space="preserve">               not a valid state, regardless of token expiry.</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extension_policy:</w:t>
            </w:r>
          </w:p>
          <w:p>
            <w:pPr>
              <w:spacing w:after="40"/>
            </w:pPr>
            <w:r>
              <w:rPr>
                <w:rFonts w:ascii="Consolas" w:cs="Consolas" w:eastAsia="Consolas" w:hAnsi="Consolas"/>
                <w:color w:val="1a202c"/>
                <w:sz w:val="18"/>
                <w:szCs w:val="18"/>
              </w:rPr>
              <w:t xml:space="preserve">  permitted:</w:t>
            </w:r>
          </w:p>
          <w:p>
            <w:pPr>
              <w:spacing w:after="40"/>
            </w:pPr>
            <w:r>
              <w:rPr>
                <w:rFonts w:ascii="Consolas" w:cs="Consolas" w:eastAsia="Consolas" w:hAnsi="Consolas"/>
                <w:color w:val="1a202c"/>
                <w:sz w:val="18"/>
                <w:szCs w:val="18"/>
              </w:rPr>
              <w:t xml:space="preserve">    - New optional output fields on create_session</w:t>
            </w:r>
          </w:p>
          <w:p>
            <w:pPr>
              <w:spacing w:after="40"/>
            </w:pPr>
            <w:r>
              <w:rPr>
                <w:rFonts w:ascii="Consolas" w:cs="Consolas" w:eastAsia="Consolas" w:hAnsi="Consolas"/>
                <w:color w:val="1a202c"/>
                <w:sz w:val="18"/>
                <w:szCs w:val="18"/>
              </w:rPr>
              <w:t xml:space="preserve">    - New capability operations that internally call create_session</w:t>
            </w:r>
          </w:p>
          <w:p>
            <w:pPr>
              <w:spacing w:after="40"/>
            </w:pPr>
            <w:r>
              <w:rPr>
                <w:rFonts w:ascii="Consolas" w:cs="Consolas" w:eastAsia="Consolas" w:hAnsi="Consolas"/>
                <w:color w:val="1a202c"/>
                <w:sz w:val="18"/>
                <w:szCs w:val="18"/>
              </w:rPr>
              <w:t xml:space="preserve">      or revoke_session (e.g. bulk_revoke_by_user)</w:t>
            </w:r>
          </w:p>
          <w:p>
            <w:pPr>
              <w:spacing w:after="40"/>
            </w:pPr>
            <w:r>
              <w:rPr>
                <w:rFonts w:ascii="Consolas" w:cs="Consolas" w:eastAsia="Consolas" w:hAnsi="Consolas"/>
                <w:color w:val="1a202c"/>
                <w:sz w:val="18"/>
                <w:szCs w:val="18"/>
              </w:rPr>
              <w:t xml:space="preserve">    - New invariants that strengthen, but do not weaken, existing ones</w:t>
            </w:r>
          </w:p>
          <w:p>
            <w:pPr>
              <w:spacing w:after="40"/>
            </w:pPr>
            <w:r>
              <w:rPr>
                <w:rFonts w:ascii="Consolas" w:cs="Consolas" w:eastAsia="Consolas" w:hAnsi="Consolas"/>
                <w:color w:val="1a202c"/>
                <w:sz w:val="18"/>
                <w:szCs w:val="18"/>
              </w:rPr>
              <w:t xml:space="preserve">  forbidden:</w:t>
            </w:r>
          </w:p>
          <w:p>
            <w:pPr>
              <w:spacing w:after="40"/>
            </w:pPr>
            <w:r>
              <w:rPr>
                <w:rFonts w:ascii="Consolas" w:cs="Consolas" w:eastAsia="Consolas" w:hAnsi="Consolas"/>
                <w:color w:val="1a202c"/>
                <w:sz w:val="18"/>
                <w:szCs w:val="18"/>
              </w:rPr>
              <w:t xml:space="preserve">    - Changes to existing operation signatures</w:t>
            </w:r>
          </w:p>
          <w:p>
            <w:pPr>
              <w:spacing w:after="40"/>
            </w:pPr>
            <w:r>
              <w:rPr>
                <w:rFonts w:ascii="Consolas" w:cs="Consolas" w:eastAsia="Consolas" w:hAnsi="Consolas"/>
                <w:color w:val="1a202c"/>
                <w:sz w:val="18"/>
                <w:szCs w:val="18"/>
              </w:rPr>
              <w:t xml:space="preserve">    - Removal or weakening of any invariant</w:t>
            </w:r>
          </w:p>
          <w:p>
            <w:pPr>
              <w:spacing w:after="40"/>
            </w:pPr>
            <w:r>
              <w:rPr>
                <w:rFonts w:ascii="Consolas" w:cs="Consolas" w:eastAsia="Consolas" w:hAnsi="Consolas"/>
                <w:color w:val="1a202c"/>
                <w:sz w:val="18"/>
                <w:szCs w:val="18"/>
              </w:rPr>
              <w:t xml:space="preserve">    - Non-opaque session token formats (violates INV-1)</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dependencies:</w:t>
            </w:r>
          </w:p>
          <w:p>
            <w:pPr>
              <w:spacing w:after="40"/>
            </w:pPr>
            <w:r>
              <w:rPr>
                <w:rFonts w:ascii="Consolas" w:cs="Consolas" w:eastAsia="Consolas" w:hAnsi="Consolas"/>
                <w:color w:val="1a202c"/>
                <w:sz w:val="18"/>
                <w:szCs w:val="18"/>
              </w:rPr>
              <w:t xml:space="preserve">  - seal_id: identity.user.v2</w:t>
            </w:r>
          </w:p>
          <w:p>
            <w:pPr>
              <w:spacing w:after="40"/>
            </w:pPr>
            <w:r>
              <w:rPr>
                <w:rFonts w:ascii="Consolas" w:cs="Consolas" w:eastAsia="Consolas" w:hAnsi="Consolas"/>
                <w:color w:val="1a202c"/>
                <w:sz w:val="18"/>
                <w:szCs w:val="18"/>
              </w:rPr>
              <w:t xml:space="preserve">    version: 2</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change_history:</w:t>
            </w:r>
          </w:p>
          <w:p>
            <w:pPr>
              <w:spacing w:after="40"/>
            </w:pPr>
            <w:r>
              <w:rPr>
                <w:rFonts w:ascii="Consolas" w:cs="Consolas" w:eastAsia="Consolas" w:hAnsi="Consolas"/>
                <w:color w:val="1a202c"/>
                <w:sz w:val="18"/>
                <w:szCs w:val="18"/>
              </w:rPr>
              <w:t xml:space="preserve">  - date: 2026-04-22</w:t>
            </w:r>
          </w:p>
          <w:p>
            <w:pPr>
              <w:spacing w:after="40"/>
            </w:pPr>
            <w:r>
              <w:rPr>
                <w:rFonts w:ascii="Consolas" w:cs="Consolas" w:eastAsia="Consolas" w:hAnsi="Consolas"/>
                <w:color w:val="1a202c"/>
                <w:sz w:val="18"/>
                <w:szCs w:val="18"/>
              </w:rPr>
              <w:t xml:space="preserve">    action: sealed</w:t>
            </w:r>
          </w:p>
          <w:p>
            <w:pPr>
              <w:spacing w:after="40"/>
            </w:pPr>
            <w:r>
              <w:rPr>
                <w:rFonts w:ascii="Consolas" w:cs="Consolas" w:eastAsia="Consolas" w:hAnsi="Consolas"/>
                <w:color w:val="1a202c"/>
                <w:sz w:val="18"/>
                <w:szCs w:val="18"/>
              </w:rPr>
              <w:t xml:space="preserve">    by: Authentication-SRB</w:t>
            </w:r>
          </w:p>
          <w:p>
            <w:pPr>
              <w:spacing w:after="40"/>
            </w:pPr>
            <w:r>
              <w:rPr>
                <w:rFonts w:ascii="Consolas" w:cs="Consolas" w:eastAsia="Consolas" w:hAnsi="Consolas"/>
                <w:color w:val="1a202c"/>
                <w:sz w:val="18"/>
                <w:szCs w:val="18"/>
              </w:rPr>
              <w:t xml:space="preserve">    notes: Initial sealing. Replaces unstructured session handling.</w:t>
            </w:r>
          </w:p>
          <w:p>
            <w:pPr>
              <w:spacing w:after="40"/>
            </w:pPr>
            <w:r>
              <w:rPr>
                <w:rFonts w:ascii="Consolas" w:cs="Consolas" w:eastAsia="Consolas" w:hAnsi="Consolas"/>
                <w:color w:val="1a202c"/>
                <w:sz w:val="18"/>
                <w:szCs w:val="18"/>
              </w:rPr>
              <w:t xml:space="preserve">           See intent document for full context.</w:t>
            </w:r>
          </w:p>
        </w:tc>
      </w:tr>
    </w:tbl>
    <w:p>
      <w:pPr>
        <w:pStyle w:val="Heading2"/>
        <w:spacing w:after="100" w:before="320"/>
      </w:pPr>
      <w:r>
        <w:rPr>
          <w:rFonts w:ascii="Arial" w:cs="Arial" w:eastAsia="Arial" w:hAnsi="Arial"/>
          <w:b/>
          <w:bCs/>
          <w:color w:val="1a202c"/>
          <w:sz w:val="28"/>
          <w:szCs w:val="28"/>
        </w:rPr>
        <w:t xml:space="preserve">10.3 The Paired Intent Document</w:t>
      </w:r>
    </w:p>
    <w:p>
      <w:pPr>
        <w:spacing w:after="140"/>
        <w:jc w:val="both"/>
      </w:pPr>
      <w:r>
        <w:rPr>
          <w:rFonts w:ascii="Arial" w:cs="Arial" w:eastAsia="Arial" w:hAnsi="Arial"/>
          <w:color w:val="1a202c"/>
          <w:sz w:val="21"/>
          <w:szCs w:val="21"/>
        </w:rPr>
        <w:t xml:space="preserve">The contract above references an intent document at `./intent/auth-user-session-v1.md`. That document might look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 Intent: auth.user_session.v1</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Problem Statement</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Before this contract, session handling was an implementation detail,</w:t>
            </w:r>
          </w:p>
          <w:p>
            <w:pPr>
              <w:spacing w:after="40"/>
            </w:pPr>
            <w:r>
              <w:rPr>
                <w:rFonts w:ascii="Consolas" w:cs="Consolas" w:eastAsia="Consolas" w:hAnsi="Consolas"/>
                <w:color w:val="1a202c"/>
                <w:sz w:val="18"/>
                <w:szCs w:val="18"/>
              </w:rPr>
              <w:t xml:space="preserve">scattered across services. Two production incidents (PI-2025-04 and</w:t>
            </w:r>
          </w:p>
          <w:p>
            <w:pPr>
              <w:spacing w:after="40"/>
            </w:pPr>
            <w:r>
              <w:rPr>
                <w:rFonts w:ascii="Consolas" w:cs="Consolas" w:eastAsia="Consolas" w:hAnsi="Consolas"/>
                <w:color w:val="1a202c"/>
                <w:sz w:val="18"/>
                <w:szCs w:val="18"/>
              </w:rPr>
              <w:t xml:space="preserve">PI-2025-11) stemmed from inconsistent session semantics: services</w:t>
            </w:r>
          </w:p>
          <w:p>
            <w:pPr>
              <w:spacing w:after="40"/>
            </w:pPr>
            <w:r>
              <w:rPr>
                <w:rFonts w:ascii="Consolas" w:cs="Consolas" w:eastAsia="Consolas" w:hAnsi="Consolas"/>
                <w:color w:val="1a202c"/>
                <w:sz w:val="18"/>
                <w:szCs w:val="18"/>
              </w:rPr>
              <w:t xml:space="preserve">disagreed on what 'logged in' meant. This contract seals the</w:t>
            </w:r>
          </w:p>
          <w:p>
            <w:pPr>
              <w:spacing w:after="40"/>
            </w:pPr>
            <w:r>
              <w:rPr>
                <w:rFonts w:ascii="Consolas" w:cs="Consolas" w:eastAsia="Consolas" w:hAnsi="Consolas"/>
                <w:color w:val="1a202c"/>
                <w:sz w:val="18"/>
                <w:szCs w:val="18"/>
              </w:rPr>
              <w:t xml:space="preserve">definition of a user session at the architectural level.</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Invariants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INV-1: Session tokens are opaque</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Rationale: In PI-2025-04, tokens contained base64-encoded user IDs.</w:t>
            </w:r>
          </w:p>
          <w:p>
            <w:pPr>
              <w:spacing w:after="40"/>
            </w:pPr>
            <w:r>
              <w:rPr>
                <w:rFonts w:ascii="Consolas" w:cs="Consolas" w:eastAsia="Consolas" w:hAnsi="Consolas"/>
                <w:color w:val="1a202c"/>
                <w:sz w:val="18"/>
                <w:szCs w:val="18"/>
              </w:rPr>
              <w:t xml:space="preserve">An attacker who obtained one token could derive other users' tokens</w:t>
            </w:r>
          </w:p>
          <w:p>
            <w:pPr>
              <w:spacing w:after="40"/>
            </w:pPr>
            <w:r>
              <w:rPr>
                <w:rFonts w:ascii="Consolas" w:cs="Consolas" w:eastAsia="Consolas" w:hAnsi="Consolas"/>
                <w:color w:val="1a202c"/>
                <w:sz w:val="18"/>
                <w:szCs w:val="18"/>
              </w:rPr>
              <w:t xml:space="preserve">through minor modifications. Opaque tokens prevent this entire class</w:t>
            </w:r>
          </w:p>
          <w:p>
            <w:pPr>
              <w:spacing w:after="40"/>
            </w:pPr>
            <w:r>
              <w:rPr>
                <w:rFonts w:ascii="Consolas" w:cs="Consolas" w:eastAsia="Consolas" w:hAnsi="Consolas"/>
                <w:color w:val="1a202c"/>
                <w:sz w:val="18"/>
                <w:szCs w:val="18"/>
              </w:rPr>
              <w:t xml:space="preserve">of attack. This invariant is non-negotiable even when it makes</w:t>
            </w:r>
          </w:p>
          <w:p>
            <w:pPr>
              <w:spacing w:after="40"/>
            </w:pPr>
            <w:r>
              <w:rPr>
                <w:rFonts w:ascii="Consolas" w:cs="Consolas" w:eastAsia="Consolas" w:hAnsi="Consolas"/>
                <w:color w:val="1a202c"/>
                <w:sz w:val="18"/>
                <w:szCs w:val="18"/>
              </w:rPr>
              <w:t xml:space="preserve">debugging harder.</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INV-2: Revocation is atomic</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Rationale: PI-2025-11 involved a revocation that succeeded in the</w:t>
            </w:r>
          </w:p>
          <w:p>
            <w:pPr>
              <w:spacing w:after="40"/>
            </w:pPr>
            <w:r>
              <w:rPr>
                <w:rFonts w:ascii="Consolas" w:cs="Consolas" w:eastAsia="Consolas" w:hAnsi="Consolas"/>
                <w:color w:val="1a202c"/>
                <w:sz w:val="18"/>
                <w:szCs w:val="18"/>
              </w:rPr>
              <w:t xml:space="preserve">auth service but failed silently in the session cache. The 'revoked'</w:t>
            </w:r>
          </w:p>
          <w:p>
            <w:pPr>
              <w:spacing w:after="40"/>
            </w:pPr>
            <w:r>
              <w:rPr>
                <w:rFonts w:ascii="Consolas" w:cs="Consolas" w:eastAsia="Consolas" w:hAnsi="Consolas"/>
                <w:color w:val="1a202c"/>
                <w:sz w:val="18"/>
                <w:szCs w:val="18"/>
              </w:rPr>
              <w:t xml:space="preserve">session kept working for 40 minutes. Atomic revocation across all</w:t>
            </w:r>
          </w:p>
          <w:p>
            <w:pPr>
              <w:spacing w:after="40"/>
            </w:pPr>
            <w:r>
              <w:rPr>
                <w:rFonts w:ascii="Consolas" w:cs="Consolas" w:eastAsia="Consolas" w:hAnsi="Consolas"/>
                <w:color w:val="1a202c"/>
                <w:sz w:val="18"/>
                <w:szCs w:val="18"/>
              </w:rPr>
              <w:t xml:space="preserve">storage tiers is a hard requirement.</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Rejected Alternatives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Alt 1: JWT-based sessions with claims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Considered and rejected. JWTs are not opaque (violates INV-1) and</w:t>
            </w:r>
          </w:p>
          <w:p>
            <w:pPr>
              <w:spacing w:after="40"/>
            </w:pPr>
            <w:r>
              <w:rPr>
                <w:rFonts w:ascii="Consolas" w:cs="Consolas" w:eastAsia="Consolas" w:hAnsi="Consolas"/>
                <w:color w:val="1a202c"/>
                <w:sz w:val="18"/>
                <w:szCs w:val="18"/>
              </w:rPr>
              <w:t xml:space="preserve">revocation requires a blocklist, which breaks atomicity (violates</w:t>
            </w:r>
          </w:p>
          <w:p>
            <w:pPr>
              <w:spacing w:after="40"/>
            </w:pPr>
            <w:r>
              <w:rPr>
                <w:rFonts w:ascii="Consolas" w:cs="Consolas" w:eastAsia="Consolas" w:hAnsi="Consolas"/>
                <w:color w:val="1a202c"/>
                <w:sz w:val="18"/>
                <w:szCs w:val="18"/>
              </w:rPr>
              <w:t xml:space="preserve">INV-2). We chose opaque tokens plus a central session store despite</w:t>
            </w:r>
          </w:p>
          <w:p>
            <w:pPr>
              <w:spacing w:after="40"/>
            </w:pPr>
            <w:r>
              <w:rPr>
                <w:rFonts w:ascii="Consolas" w:cs="Consolas" w:eastAsia="Consolas" w:hAnsi="Consolas"/>
                <w:color w:val="1a202c"/>
                <w:sz w:val="18"/>
                <w:szCs w:val="18"/>
              </w:rPr>
              <w:t xml:space="preserve">the operational cost.</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Alt 2: Sessions tied to user record lifecycle</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Considered and rejected. Coupling session lifetime to user record</w:t>
            </w:r>
          </w:p>
          <w:p>
            <w:pPr>
              <w:spacing w:after="40"/>
            </w:pPr>
            <w:r>
              <w:rPr>
                <w:rFonts w:ascii="Consolas" w:cs="Consolas" w:eastAsia="Consolas" w:hAnsi="Consolas"/>
                <w:color w:val="1a202c"/>
                <w:sz w:val="18"/>
                <w:szCs w:val="18"/>
              </w:rPr>
              <w:t xml:space="preserve">lifetime means account compromise cannot be recovered from without</w:t>
            </w:r>
          </w:p>
          <w:p>
            <w:pPr>
              <w:spacing w:after="40"/>
            </w:pPr>
            <w:r>
              <w:rPr>
                <w:rFonts w:ascii="Consolas" w:cs="Consolas" w:eastAsia="Consolas" w:hAnsi="Consolas"/>
                <w:color w:val="1a202c"/>
                <w:sz w:val="18"/>
                <w:szCs w:val="18"/>
              </w:rPr>
              <w:t xml:space="preserve">destroying the account. Orthogonal lifecycles let us revoke sessions</w:t>
            </w:r>
          </w:p>
          <w:p>
            <w:pPr>
              <w:spacing w:after="40"/>
            </w:pPr>
            <w:r>
              <w:rPr>
                <w:rFonts w:ascii="Consolas" w:cs="Consolas" w:eastAsia="Consolas" w:hAnsi="Consolas"/>
                <w:color w:val="1a202c"/>
                <w:sz w:val="18"/>
                <w:szCs w:val="18"/>
              </w:rPr>
              <w:t xml:space="preserve">independently of account state.</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Assumptions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There exists a central session store accessible to all services</w:t>
            </w:r>
          </w:p>
          <w:p>
            <w:pPr>
              <w:spacing w:after="40"/>
            </w:pPr>
            <w:r>
              <w:rPr>
                <w:rFonts w:ascii="Consolas" w:cs="Consolas" w:eastAsia="Consolas" w:hAnsi="Consolas"/>
                <w:color w:val="1a202c"/>
                <w:sz w:val="18"/>
                <w:szCs w:val="18"/>
              </w:rPr>
              <w:t xml:space="preserve">- Token opacity is backed by at least 128 bits of cryptographic</w:t>
            </w:r>
          </w:p>
          <w:p>
            <w:pPr>
              <w:spacing w:after="40"/>
            </w:pPr>
            <w:r>
              <w:rPr>
                <w:rFonts w:ascii="Consolas" w:cs="Consolas" w:eastAsia="Consolas" w:hAnsi="Consolas"/>
                <w:color w:val="1a202c"/>
                <w:sz w:val="18"/>
                <w:szCs w:val="18"/>
              </w:rPr>
              <w:t xml:space="preserve">  randomness</w:t>
            </w:r>
          </w:p>
          <w:p>
            <w:pPr>
              <w:spacing w:after="40"/>
            </w:pPr>
            <w:r>
              <w:rPr>
                <w:rFonts w:ascii="Consolas" w:cs="Consolas" w:eastAsia="Consolas" w:hAnsi="Consolas"/>
                <w:color w:val="1a202c"/>
                <w:sz w:val="18"/>
                <w:szCs w:val="18"/>
              </w:rPr>
              <w:t xml:space="preserve">- Revocation propagation time is bounded at 100ms across tiers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If any of these assumptions cease to hold, the contract should be</w:t>
            </w:r>
          </w:p>
          <w:p>
            <w:pPr>
              <w:spacing w:after="40"/>
            </w:pPr>
            <w:r>
              <w:rPr>
                <w:rFonts w:ascii="Consolas" w:cs="Consolas" w:eastAsia="Consolas" w:hAnsi="Consolas"/>
                <w:color w:val="1a202c"/>
                <w:sz w:val="18"/>
                <w:szCs w:val="18"/>
              </w:rPr>
              <w:t xml:space="preserve">reviewed — the invariants may need to be strengthened or the</w:t>
            </w:r>
          </w:p>
          <w:p>
            <w:pPr>
              <w:spacing w:after="40"/>
            </w:pPr>
            <w:r>
              <w:rPr>
                <w:rFonts w:ascii="Consolas" w:cs="Consolas" w:eastAsia="Consolas" w:hAnsi="Consolas"/>
                <w:color w:val="1a202c"/>
                <w:sz w:val="18"/>
                <w:szCs w:val="18"/>
              </w:rPr>
              <w:t xml:space="preserve">contract may require a major version bump.</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Related Context</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PI-2025-04: Post-incident review, security archive</w:t>
            </w:r>
          </w:p>
          <w:p>
            <w:pPr>
              <w:spacing w:after="40"/>
            </w:pPr>
            <w:r>
              <w:rPr>
                <w:rFonts w:ascii="Consolas" w:cs="Consolas" w:eastAsia="Consolas" w:hAnsi="Consolas"/>
                <w:color w:val="1a202c"/>
                <w:sz w:val="18"/>
                <w:szCs w:val="18"/>
              </w:rPr>
              <w:t xml:space="preserve">- PI-2025-11: Post-incident review, security archive</w:t>
            </w:r>
          </w:p>
          <w:p>
            <w:pPr>
              <w:spacing w:after="40"/>
            </w:pPr>
            <w:r>
              <w:rPr>
                <w:rFonts w:ascii="Consolas" w:cs="Consolas" w:eastAsia="Consolas" w:hAnsi="Consolas"/>
                <w:color w:val="1a202c"/>
                <w:sz w:val="18"/>
                <w:szCs w:val="18"/>
              </w:rPr>
              <w:t xml:space="preserve">- Decision Log: D-2026-014 (choice of opaque-token design)</w:t>
            </w:r>
          </w:p>
        </w:tc>
      </w:tr>
    </w:tbl>
    <w:p>
      <w:pPr>
        <w:pStyle w:val="Heading2"/>
        <w:spacing w:after="100" w:before="320"/>
      </w:pPr>
      <w:r>
        <w:rPr>
          <w:rFonts w:ascii="Arial" w:cs="Arial" w:eastAsia="Arial" w:hAnsi="Arial"/>
          <w:b/>
          <w:bCs/>
          <w:color w:val="1a202c"/>
          <w:sz w:val="28"/>
          <w:szCs w:val="28"/>
        </w:rPr>
        <w:t xml:space="preserve">10.4 Format Design Notes</w:t>
      </w:r>
    </w:p>
    <w:p>
      <w:pPr>
        <w:pStyle w:val="Heading3"/>
        <w:spacing w:after="80" w:before="220"/>
      </w:pPr>
      <w:r>
        <w:rPr>
          <w:rFonts w:ascii="Arial" w:cs="Arial" w:eastAsia="Arial" w:hAnsi="Arial"/>
          <w:b/>
          <w:bCs/>
          <w:color w:val="004271"/>
          <w:sz w:val="23"/>
          <w:szCs w:val="23"/>
        </w:rPr>
        <w:t xml:space="preserve">Why YAML and not a language-native format</w:t>
      </w:r>
    </w:p>
    <w:p>
      <w:pPr>
        <w:spacing w:after="140"/>
        <w:jc w:val="both"/>
      </w:pPr>
      <w:r>
        <w:rPr>
          <w:rFonts w:ascii="Arial" w:cs="Arial" w:eastAsia="Arial" w:hAnsi="Arial"/>
          <w:color w:val="1a202c"/>
          <w:sz w:val="21"/>
          <w:szCs w:val="21"/>
        </w:rPr>
        <w:t xml:space="preserve">A Java interface is tied to Java. A TypeScript interface is tied to TypeScript. A sealed contract must outlive both. YAML is a serialization format with wide tool support, human readability, and, critically, no execution semantics that bind it to any runtime. It can be parsed by any sufficiently capable AI model, any mainstream programming language, and any documentation generator.</w:t>
      </w:r>
    </w:p>
    <w:p>
      <w:pPr>
        <w:pStyle w:val="Heading3"/>
        <w:spacing w:after="80" w:before="220"/>
      </w:pPr>
      <w:r>
        <w:rPr>
          <w:rFonts w:ascii="Arial" w:cs="Arial" w:eastAsia="Arial" w:hAnsi="Arial"/>
          <w:b/>
          <w:bCs/>
          <w:color w:val="004271"/>
          <w:sz w:val="23"/>
          <w:szCs w:val="23"/>
        </w:rPr>
        <w:t xml:space="preserve">Why the intent document is separate prose, not more YAML</w:t>
      </w:r>
    </w:p>
    <w:p>
      <w:pPr>
        <w:spacing w:after="140"/>
        <w:jc w:val="both"/>
      </w:pPr>
      <w:r>
        <w:rPr>
          <w:rFonts w:ascii="Arial" w:cs="Arial" w:eastAsia="Arial" w:hAnsi="Arial"/>
          <w:color w:val="1a202c"/>
          <w:sz w:val="21"/>
          <w:szCs w:val="21"/>
        </w:rPr>
        <w:t xml:space="preserve">Intent is narrative. The reasoning behind an invariant, the alternatives considered, the assumptions made — these are not naturally expressed as structured data. Forcing them into YAML fields would either produce sparse, stub-like content or explode the YAML into something unreadable. Markdown prose is the appropriate format for narrative content, and the pairing of structured YAML (contract) with unstructured Markdown (intent) reflects the different nature of the two artefacts.</w:t>
      </w:r>
    </w:p>
    <w:p>
      <w:pPr>
        <w:pStyle w:val="Heading3"/>
        <w:spacing w:after="80" w:before="220"/>
      </w:pPr>
      <w:r>
        <w:rPr>
          <w:rFonts w:ascii="Arial" w:cs="Arial" w:eastAsia="Arial" w:hAnsi="Arial"/>
          <w:b/>
          <w:bCs/>
          <w:color w:val="004271"/>
          <w:sz w:val="23"/>
          <w:szCs w:val="23"/>
        </w:rPr>
        <w:t xml:space="preserve">Why invariants have IDs</w:t>
      </w:r>
    </w:p>
    <w:p>
      <w:pPr>
        <w:spacing w:after="140"/>
        <w:jc w:val="both"/>
      </w:pPr>
      <w:r>
        <w:rPr>
          <w:rFonts w:ascii="Arial" w:cs="Arial" w:eastAsia="Arial" w:hAnsi="Arial"/>
          <w:color w:val="1a202c"/>
          <w:sz w:val="21"/>
          <w:szCs w:val="21"/>
        </w:rPr>
        <w:t xml:space="preserve">Invariants are cross-referenced — from the intent document, from test cases, from decision log entries, from audit records. Giving each invariant a stable ID (INV-1, INV-2...) permits this cross-referencing without ambiguity. IDs never change, even if the invariant statement is clarified over time.</w:t>
      </w:r>
    </w:p>
    <w:p>
      <w:pPr>
        <w:pStyle w:val="Heading3"/>
        <w:spacing w:after="80" w:before="220"/>
      </w:pPr>
      <w:r>
        <w:rPr>
          <w:rFonts w:ascii="Arial" w:cs="Arial" w:eastAsia="Arial" w:hAnsi="Arial"/>
          <w:b/>
          <w:bCs/>
          <w:color w:val="004271"/>
          <w:sz w:val="23"/>
          <w:szCs w:val="23"/>
        </w:rPr>
        <w:t xml:space="preserve">Why the extension policy is explicit</w:t>
      </w:r>
    </w:p>
    <w:p>
      <w:pPr>
        <w:spacing w:after="140"/>
        <w:jc w:val="both"/>
      </w:pPr>
      <w:r>
        <w:rPr>
          <w:rFonts w:ascii="Arial" w:cs="Arial" w:eastAsia="Arial" w:hAnsi="Arial"/>
          <w:color w:val="1a202c"/>
          <w:sz w:val="21"/>
          <w:szCs w:val="21"/>
        </w:rPr>
        <w:t xml:space="preserve">Without an explicit policy, engineers will extend sealed contracts in whatever way seems convenient, and over time the 'sealed' contract will drift. An explicit policy — 'these kinds of extension are permitted; these are not' — provides a rule that can be checked, automatically where possible and manually where not. It is the first line of defence against the Dissolution failure mode.</w:t>
      </w:r>
    </w:p>
    <w:p>
      <w:r>
        <w:br w:type="page"/>
      </w:r>
    </w:p>
    <w:p>
      <w:pPr>
        <w:pStyle w:val="Heading1"/>
        <w:spacing w:after="160" w:before="480"/>
      </w:pPr>
      <w:r>
        <w:rPr>
          <w:rFonts w:ascii="Arial" w:cs="Arial" w:eastAsia="Arial" w:hAnsi="Arial"/>
          <w:b/>
          <w:bCs/>
          <w:color w:val="002b4d"/>
          <w:sz w:val="38"/>
          <w:szCs w:val="38"/>
        </w:rPr>
        <w:t xml:space="preserve">11. The Governance Protocol</w:t>
      </w:r>
    </w:p>
    <w:p>
      <w:pPr>
        <w:spacing w:after="140"/>
        <w:jc w:val="both"/>
      </w:pPr>
      <w:r>
        <w:rPr>
          <w:rFonts w:ascii="Arial" w:cs="Arial" w:eastAsia="Arial" w:hAnsi="Arial"/>
          <w:color w:val="1a202c"/>
          <w:sz w:val="21"/>
          <w:szCs w:val="21"/>
        </w:rPr>
        <w:t xml:space="preserve">The governance protocol is the set of rules and procedures that make SEA actually enforceable rather than aspirational. Architectures that describe sealed contracts but do not specify how sealing is enforced produce documentation, not architecture. This section specifies the operational protocol that turns documentation into discipline.</w:t>
      </w:r>
    </w:p>
    <w:p>
      <w:pPr>
        <w:pStyle w:val="Heading2"/>
        <w:spacing w:after="100" w:before="320"/>
      </w:pPr>
      <w:r>
        <w:rPr>
          <w:rFonts w:ascii="Arial" w:cs="Arial" w:eastAsia="Arial" w:hAnsi="Arial"/>
          <w:b/>
          <w:bCs/>
          <w:color w:val="1a202c"/>
          <w:sz w:val="28"/>
          <w:szCs w:val="28"/>
        </w:rPr>
        <w:t xml:space="preserve">11.1 The Four Governance Activities</w:t>
      </w:r>
    </w:p>
    <w:p>
      <w:pPr>
        <w:spacing w:after="140"/>
        <w:jc w:val="both"/>
      </w:pPr>
      <w:r>
        <w:rPr>
          <w:rFonts w:ascii="Arial" w:cs="Arial" w:eastAsia="Arial" w:hAnsi="Arial"/>
          <w:color w:val="1a202c"/>
          <w:sz w:val="21"/>
          <w:szCs w:val="21"/>
        </w:rPr>
        <w:t xml:space="preserve">SEA governance consists of four core activities, each with its own cadence and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Activity</w:t>
            </w:r>
          </w:p>
        </w:tc>
        <w:tc>
          <w:tcPr>
            <w:tcW w:type="dxa" w:w="20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Cadence</w:t>
            </w:r>
          </w:p>
        </w:tc>
        <w:tc>
          <w:tcPr>
            <w:tcW w:type="dxa" w:w="2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Owner</w:t>
            </w:r>
          </w:p>
        </w:tc>
        <w:tc>
          <w:tcPr>
            <w:tcW w:type="dxa" w:w="25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Output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 Review</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Per extension proposal (ad hoc)</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Owner + Reviewer</w:t>
            </w:r>
          </w:p>
        </w:tc>
        <w:tc>
          <w:tcPr>
            <w:tcW w:type="dxa" w:w="2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Approved, rejected, or returned for rework</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Quarterly Contract Review</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Every 90 days</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Sealed Review Board</w:t>
            </w:r>
          </w:p>
        </w:tc>
        <w:tc>
          <w:tcPr>
            <w:tcW w:type="dxa" w:w="2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Status report, any drift incidents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Succession Transfer</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Per ownership change (ad hoc)</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Outgoing + incoming Owner + SRB</w:t>
            </w:r>
          </w:p>
        </w:tc>
        <w:tc>
          <w:tcPr>
            <w:tcW w:type="dxa" w:w="2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Formal handover record</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Major Version Review</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Per MVB proposal (rare)</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Sealed Review Board + executive sponsor</w:t>
            </w:r>
          </w:p>
        </w:tc>
        <w:tc>
          <w:tcPr>
            <w:tcW w:type="dxa" w:w="2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Approval, rejection, or deferral</w:t>
            </w:r>
          </w:p>
        </w:tc>
      </w:tr>
    </w:tbl>
    <w:p>
      <w:pPr>
        <w:pStyle w:val="Heading2"/>
        <w:spacing w:after="100" w:before="320"/>
      </w:pPr>
      <w:r>
        <w:rPr>
          <w:rFonts w:ascii="Arial" w:cs="Arial" w:eastAsia="Arial" w:hAnsi="Arial"/>
          <w:b/>
          <w:bCs/>
          <w:color w:val="1a202c"/>
          <w:sz w:val="28"/>
          <w:szCs w:val="28"/>
        </w:rPr>
        <w:t xml:space="preserve">11.2 Extension Review Protocol</w:t>
      </w:r>
    </w:p>
    <w:p>
      <w:pPr>
        <w:spacing w:after="140"/>
        <w:jc w:val="both"/>
      </w:pPr>
      <w:r>
        <w:rPr>
          <w:rFonts w:ascii="Arial" w:cs="Arial" w:eastAsia="Arial" w:hAnsi="Arial"/>
          <w:color w:val="1a202c"/>
          <w:sz w:val="21"/>
          <w:szCs w:val="21"/>
        </w:rPr>
        <w:t xml:space="preserve">The most common governance activity. When a team needs to extend a sealed contract (add a new capability, support a new use case, integrate a new downstream consumer), the extension goes through this protocol before any code is written.</w:t>
      </w:r>
    </w:p>
    <w:p>
      <w:pPr>
        <w:pStyle w:val="Heading3"/>
        <w:spacing w:after="80" w:before="220"/>
      </w:pPr>
      <w:r>
        <w:rPr>
          <w:rFonts w:ascii="Arial" w:cs="Arial" w:eastAsia="Arial" w:hAnsi="Arial"/>
          <w:b/>
          <w:bCs/>
          <w:color w:val="004271"/>
          <w:sz w:val="23"/>
          <w:szCs w:val="23"/>
        </w:rPr>
        <w:t xml:space="preserve">Steps</w:t>
      </w:r>
    </w:p>
    <w:p>
      <w:pPr>
        <w:pStyle w:val="ListParagraph"/>
        <w:numPr>
          <w:ilvl w:val="0"/>
          <w:numId w:val="2"/>
        </w:numPr>
        <w:spacing w:after="70"/>
      </w:pPr>
      <w:r>
        <w:rPr>
          <w:rFonts w:ascii="Arial" w:cs="Arial" w:eastAsia="Arial" w:hAnsi="Arial"/>
          <w:color w:val="1a202c"/>
          <w:sz w:val="21"/>
          <w:szCs w:val="21"/>
        </w:rPr>
        <w:t xml:space="preserve">Proposer drafts an extension specification. This includes: what new capability is being added, which existing sealed contract it extends, whether it falls within the contract's declared extension policy, and what new invariants (if any) the extension carries.</w:t>
      </w:r>
    </w:p>
    <w:p>
      <w:pPr>
        <w:pStyle w:val="ListParagraph"/>
        <w:numPr>
          <w:ilvl w:val="0"/>
          <w:numId w:val="2"/>
        </w:numPr>
        <w:spacing w:after="70"/>
      </w:pPr>
      <w:r>
        <w:rPr>
          <w:rFonts w:ascii="Arial" w:cs="Arial" w:eastAsia="Arial" w:hAnsi="Arial"/>
          <w:color w:val="1a202c"/>
          <w:sz w:val="21"/>
          <w:szCs w:val="21"/>
        </w:rPr>
        <w:t xml:space="preserve">Proposer sends the specification to the Contract Owner and Contract Reviewer.</w:t>
      </w:r>
    </w:p>
    <w:p>
      <w:pPr>
        <w:pStyle w:val="ListParagraph"/>
        <w:numPr>
          <w:ilvl w:val="0"/>
          <w:numId w:val="2"/>
        </w:numPr>
        <w:spacing w:after="70"/>
      </w:pPr>
      <w:r>
        <w:rPr>
          <w:rFonts w:ascii="Arial" w:cs="Arial" w:eastAsia="Arial" w:hAnsi="Arial"/>
          <w:color w:val="1a202c"/>
          <w:sz w:val="21"/>
          <w:szCs w:val="21"/>
        </w:rPr>
        <w:t xml:space="preserve">Contract Owner checks the proposal against the intent document. Is the extension consistent with the contract's original purpose? Does it strengthen or weaken any invariants?</w:t>
      </w:r>
    </w:p>
    <w:p>
      <w:pPr>
        <w:pStyle w:val="ListParagraph"/>
        <w:numPr>
          <w:ilvl w:val="0"/>
          <w:numId w:val="2"/>
        </w:numPr>
        <w:spacing w:after="70"/>
      </w:pPr>
      <w:r>
        <w:rPr>
          <w:rFonts w:ascii="Arial" w:cs="Arial" w:eastAsia="Arial" w:hAnsi="Arial"/>
          <w:color w:val="1a202c"/>
          <w:sz w:val="21"/>
          <w:szCs w:val="21"/>
        </w:rPr>
        <w:t xml:space="preserve">Contract Reviewer checks the proposal against the technical constraints. Is the implementation feasible? Are there hidden dependencies? Does it conflict with other extensions in flight?</w:t>
      </w:r>
    </w:p>
    <w:p>
      <w:pPr>
        <w:pStyle w:val="ListParagraph"/>
        <w:numPr>
          <w:ilvl w:val="0"/>
          <w:numId w:val="2"/>
        </w:numPr>
        <w:spacing w:after="70"/>
      </w:pPr>
      <w:r>
        <w:rPr>
          <w:rFonts w:ascii="Arial" w:cs="Arial" w:eastAsia="Arial" w:hAnsi="Arial"/>
          <w:color w:val="1a202c"/>
          <w:sz w:val="21"/>
          <w:szCs w:val="21"/>
        </w:rPr>
        <w:t xml:space="preserve">Both approve, or one proposes changes. If approved, the extension proceeds to implementation.</w:t>
      </w:r>
    </w:p>
    <w:p>
      <w:pPr>
        <w:pStyle w:val="ListParagraph"/>
        <w:numPr>
          <w:ilvl w:val="0"/>
          <w:numId w:val="2"/>
        </w:numPr>
        <w:spacing w:after="70"/>
      </w:pPr>
      <w:r>
        <w:rPr>
          <w:rFonts w:ascii="Arial" w:cs="Arial" w:eastAsia="Arial" w:hAnsi="Arial"/>
          <w:color w:val="1a202c"/>
          <w:sz w:val="21"/>
          <w:szCs w:val="21"/>
        </w:rPr>
        <w:t xml:space="preserve">On implementation, the change is added to the contract's `change_history` and the intent document is updated with a new section documenting the extension's rationale.</w:t>
      </w:r>
    </w:p>
    <w:p>
      <w:pPr>
        <w:pStyle w:val="Heading3"/>
        <w:spacing w:after="80" w:before="220"/>
      </w:pPr>
      <w:r>
        <w:rPr>
          <w:rFonts w:ascii="Arial" w:cs="Arial" w:eastAsia="Arial" w:hAnsi="Arial"/>
          <w:b/>
          <w:bCs/>
          <w:color w:val="004271"/>
          <w:sz w:val="23"/>
          <w:szCs w:val="23"/>
        </w:rPr>
        <w:t xml:space="preserve">Timing</w:t>
      </w:r>
    </w:p>
    <w:p>
      <w:pPr>
        <w:spacing w:after="140"/>
        <w:jc w:val="both"/>
      </w:pPr>
      <w:r>
        <w:rPr>
          <w:rFonts w:ascii="Arial" w:cs="Arial" w:eastAsia="Arial" w:hAnsi="Arial"/>
          <w:color w:val="1a202c"/>
          <w:sz w:val="21"/>
          <w:szCs w:val="21"/>
        </w:rPr>
        <w:t xml:space="preserve">Extension reviews should complete in 3-5 working days. If they take longer than this consistently, one of three things is wrong: the contracts are too coarse (every change is large), the review burden is too concentrated (a single Owner is bottlenecking multiple contracts), or the review process itself is too heavy (bureaucratic overhead). The organisation should address whichever is the case.</w:t>
      </w:r>
    </w:p>
    <w:p>
      <w:pPr>
        <w:pStyle w:val="Heading2"/>
        <w:spacing w:after="100" w:before="320"/>
      </w:pPr>
      <w:r>
        <w:rPr>
          <w:rFonts w:ascii="Arial" w:cs="Arial" w:eastAsia="Arial" w:hAnsi="Arial"/>
          <w:b/>
          <w:bCs/>
          <w:color w:val="1a202c"/>
          <w:sz w:val="28"/>
          <w:szCs w:val="28"/>
        </w:rPr>
        <w:t xml:space="preserve">11.3 Quarterly Contract Review Protocol</w:t>
      </w:r>
    </w:p>
    <w:p>
      <w:pPr>
        <w:spacing w:after="140"/>
        <w:jc w:val="both"/>
      </w:pPr>
      <w:r>
        <w:rPr>
          <w:rFonts w:ascii="Arial" w:cs="Arial" w:eastAsia="Arial" w:hAnsi="Arial"/>
          <w:color w:val="1a202c"/>
          <w:sz w:val="21"/>
          <w:szCs w:val="21"/>
        </w:rPr>
        <w:t xml:space="preserve">Every 90 days, the Sealed Review Board meets to review the state of all sealed contracts under its governance. This is the rhythm that catches drift before it becomes failure.</w:t>
      </w:r>
    </w:p>
    <w:p>
      <w:pPr>
        <w:pStyle w:val="Heading3"/>
        <w:spacing w:after="80" w:before="220"/>
      </w:pPr>
      <w:r>
        <w:rPr>
          <w:rFonts w:ascii="Arial" w:cs="Arial" w:eastAsia="Arial" w:hAnsi="Arial"/>
          <w:b/>
          <w:bCs/>
          <w:color w:val="004271"/>
          <w:sz w:val="23"/>
          <w:szCs w:val="23"/>
        </w:rPr>
        <w:t xml:space="preserve">Agenda</w:t>
      </w:r>
    </w:p>
    <w:p>
      <w:pPr>
        <w:pStyle w:val="ListParagraph"/>
        <w:numPr>
          <w:ilvl w:val="0"/>
          <w:numId w:val="2"/>
        </w:numPr>
        <w:spacing w:after="70"/>
      </w:pPr>
      <w:r>
        <w:rPr>
          <w:rFonts w:ascii="Arial" w:cs="Arial" w:eastAsia="Arial" w:hAnsi="Arial"/>
          <w:color w:val="1a202c"/>
          <w:sz w:val="21"/>
          <w:szCs w:val="21"/>
        </w:rPr>
        <w:t xml:space="preserve">Contract Health — for each sealed contract, confirm Owner and Reviewer are current and active. Any vacancies must be filled before the meeting closes.</w:t>
      </w:r>
    </w:p>
    <w:p>
      <w:pPr>
        <w:pStyle w:val="ListParagraph"/>
        <w:numPr>
          <w:ilvl w:val="0"/>
          <w:numId w:val="2"/>
        </w:numPr>
        <w:spacing w:after="70"/>
      </w:pPr>
      <w:r>
        <w:rPr>
          <w:rFonts w:ascii="Arial" w:cs="Arial" w:eastAsia="Arial" w:hAnsi="Arial"/>
          <w:color w:val="1a202c"/>
          <w:sz w:val="21"/>
          <w:szCs w:val="21"/>
        </w:rPr>
        <w:t xml:space="preserve">Drift Incidents — review any observed drift (contract vs implementation, intent vs behaviour). Classify severity. Approve remediation.</w:t>
      </w:r>
    </w:p>
    <w:p>
      <w:pPr>
        <w:pStyle w:val="ListParagraph"/>
        <w:numPr>
          <w:ilvl w:val="0"/>
          <w:numId w:val="2"/>
        </w:numPr>
        <w:spacing w:after="70"/>
      </w:pPr>
      <w:r>
        <w:rPr>
          <w:rFonts w:ascii="Arial" w:cs="Arial" w:eastAsia="Arial" w:hAnsi="Arial"/>
          <w:color w:val="1a202c"/>
          <w:sz w:val="21"/>
          <w:szCs w:val="21"/>
        </w:rPr>
        <w:t xml:space="preserve">Pending Extensions — review the queue of extension proposals that require SRB attention (typically those with organisation-wide implications).</w:t>
      </w:r>
    </w:p>
    <w:p>
      <w:pPr>
        <w:pStyle w:val="ListParagraph"/>
        <w:numPr>
          <w:ilvl w:val="0"/>
          <w:numId w:val="2"/>
        </w:numPr>
        <w:spacing w:after="70"/>
      </w:pPr>
      <w:r>
        <w:rPr>
          <w:rFonts w:ascii="Arial" w:cs="Arial" w:eastAsia="Arial" w:hAnsi="Arial"/>
          <w:color w:val="1a202c"/>
          <w:sz w:val="21"/>
          <w:szCs w:val="21"/>
        </w:rPr>
        <w:t xml:space="preserve">Contract Metrics — change velocity, extension approval rate, age of oldest sealed contract. Spot trends.</w:t>
      </w:r>
    </w:p>
    <w:p>
      <w:pPr>
        <w:pStyle w:val="ListParagraph"/>
        <w:numPr>
          <w:ilvl w:val="0"/>
          <w:numId w:val="2"/>
        </w:numPr>
        <w:spacing w:after="70"/>
      </w:pPr>
      <w:r>
        <w:rPr>
          <w:rFonts w:ascii="Arial" w:cs="Arial" w:eastAsia="Arial" w:hAnsi="Arial"/>
          <w:color w:val="1a202c"/>
          <w:sz w:val="21"/>
          <w:szCs w:val="21"/>
        </w:rPr>
        <w:t xml:space="preserve">Retirement Candidates — identify any contracts that may be candidates for retirement. (Contracts with zero active consumers are the obvious candidates.)</w:t>
      </w:r>
    </w:p>
    <w:p>
      <w:pPr>
        <w:pStyle w:val="ListParagraph"/>
        <w:numPr>
          <w:ilvl w:val="0"/>
          <w:numId w:val="2"/>
        </w:numPr>
        <w:spacing w:after="70"/>
      </w:pPr>
      <w:r>
        <w:rPr>
          <w:rFonts w:ascii="Arial" w:cs="Arial" w:eastAsia="Arial" w:hAnsi="Arial"/>
          <w:color w:val="1a202c"/>
          <w:sz w:val="21"/>
          <w:szCs w:val="21"/>
        </w:rPr>
        <w:t xml:space="preserve">Policy Adjustments — discuss any proposed adjustments to the governance policy itself. Changes here affect future reviews.</w:t>
      </w:r>
    </w:p>
    <w:p>
      <w:pPr>
        <w:pStyle w:val="Heading3"/>
        <w:spacing w:after="80" w:before="220"/>
      </w:pPr>
      <w:r>
        <w:rPr>
          <w:rFonts w:ascii="Arial" w:cs="Arial" w:eastAsia="Arial" w:hAnsi="Arial"/>
          <w:b/>
          <w:bCs/>
          <w:color w:val="004271"/>
          <w:sz w:val="23"/>
          <w:szCs w:val="23"/>
        </w:rPr>
        <w:t xml:space="preserve">Duration</w:t>
      </w:r>
    </w:p>
    <w:p>
      <w:pPr>
        <w:spacing w:after="140"/>
        <w:jc w:val="both"/>
      </w:pPr>
      <w:r>
        <w:rPr>
          <w:rFonts w:ascii="Arial" w:cs="Arial" w:eastAsia="Arial" w:hAnsi="Arial"/>
          <w:color w:val="1a202c"/>
          <w:sz w:val="21"/>
          <w:szCs w:val="21"/>
        </w:rPr>
        <w:t xml:space="preserve">For a well-governed portfolio of sealed contracts, quarterly reviews take 90-120 minutes. Longer reviews indicate accumulated drift; the right response is more frequent review, not longer reviews.</w:t>
      </w:r>
    </w:p>
    <w:p>
      <w:pPr>
        <w:pStyle w:val="Heading2"/>
        <w:spacing w:after="100" w:before="320"/>
      </w:pPr>
      <w:r>
        <w:rPr>
          <w:rFonts w:ascii="Arial" w:cs="Arial" w:eastAsia="Arial" w:hAnsi="Arial"/>
          <w:b/>
          <w:bCs/>
          <w:color w:val="1a202c"/>
          <w:sz w:val="28"/>
          <w:szCs w:val="28"/>
        </w:rPr>
        <w:t xml:space="preserve">11.4 Succession Transfer Protocol</w:t>
      </w:r>
    </w:p>
    <w:p>
      <w:pPr>
        <w:spacing w:after="140"/>
        <w:jc w:val="both"/>
      </w:pPr>
      <w:r>
        <w:rPr>
          <w:rFonts w:ascii="Arial" w:cs="Arial" w:eastAsia="Arial" w:hAnsi="Arial"/>
          <w:color w:val="1a202c"/>
          <w:sz w:val="21"/>
          <w:szCs w:val="21"/>
        </w:rPr>
        <w:t xml:space="preserve">When a Contract Owner or Reviewer leaves their role — through resignation, role change, departure, or end of fixed term — the succession is formal. This is the mechanism that prevents Ghost Ownership (Failure Mode 4.3).</w:t>
      </w:r>
    </w:p>
    <w:p>
      <w:pPr>
        <w:pStyle w:val="Heading3"/>
        <w:spacing w:after="80" w:before="220"/>
      </w:pPr>
      <w:r>
        <w:rPr>
          <w:rFonts w:ascii="Arial" w:cs="Arial" w:eastAsia="Arial" w:hAnsi="Arial"/>
          <w:b/>
          <w:bCs/>
          <w:color w:val="004271"/>
          <w:sz w:val="23"/>
          <w:szCs w:val="23"/>
        </w:rPr>
        <w:t xml:space="preserve">Steps</w:t>
      </w:r>
    </w:p>
    <w:p>
      <w:pPr>
        <w:pStyle w:val="ListParagraph"/>
        <w:numPr>
          <w:ilvl w:val="0"/>
          <w:numId w:val="2"/>
        </w:numPr>
        <w:spacing w:after="70"/>
      </w:pPr>
      <w:r>
        <w:rPr>
          <w:rFonts w:ascii="Arial" w:cs="Arial" w:eastAsia="Arial" w:hAnsi="Arial"/>
          <w:color w:val="1a202c"/>
          <w:sz w:val="21"/>
          <w:szCs w:val="21"/>
        </w:rPr>
        <w:t xml:space="preserve">Advance notice — the outgoing Owner declares their departure timeline, ideally 30+ days before it takes effect.</w:t>
      </w:r>
    </w:p>
    <w:p>
      <w:pPr>
        <w:pStyle w:val="ListParagraph"/>
        <w:numPr>
          <w:ilvl w:val="0"/>
          <w:numId w:val="2"/>
        </w:numPr>
        <w:spacing w:after="70"/>
      </w:pPr>
      <w:r>
        <w:rPr>
          <w:rFonts w:ascii="Arial" w:cs="Arial" w:eastAsia="Arial" w:hAnsi="Arial"/>
          <w:color w:val="1a202c"/>
          <w:sz w:val="21"/>
          <w:szCs w:val="21"/>
        </w:rPr>
        <w:t xml:space="preserve">Successor identification — the Sealed Review Board names a successor. Default candidate is the Contract Reviewer, but other candidates are eligible.</w:t>
      </w:r>
    </w:p>
    <w:p>
      <w:pPr>
        <w:pStyle w:val="ListParagraph"/>
        <w:numPr>
          <w:ilvl w:val="0"/>
          <w:numId w:val="2"/>
        </w:numPr>
        <w:spacing w:after="70"/>
      </w:pPr>
      <w:r>
        <w:rPr>
          <w:rFonts w:ascii="Arial" w:cs="Arial" w:eastAsia="Arial" w:hAnsi="Arial"/>
          <w:color w:val="1a202c"/>
          <w:sz w:val="21"/>
          <w:szCs w:val="21"/>
        </w:rPr>
        <w:t xml:space="preserve">Shadow period — the successor shadows the outgoing Owner on all Owner activities (extension reviews, quarterly reviews) for a minimum of two weeks.</w:t>
      </w:r>
    </w:p>
    <w:p>
      <w:pPr>
        <w:pStyle w:val="ListParagraph"/>
        <w:numPr>
          <w:ilvl w:val="0"/>
          <w:numId w:val="2"/>
        </w:numPr>
        <w:spacing w:after="70"/>
      </w:pPr>
      <w:r>
        <w:rPr>
          <w:rFonts w:ascii="Arial" w:cs="Arial" w:eastAsia="Arial" w:hAnsi="Arial"/>
          <w:color w:val="1a202c"/>
          <w:sz w:val="21"/>
          <w:szCs w:val="21"/>
        </w:rPr>
        <w:t xml:space="preserve">Handover session — a formal session covering: the contract's history, the major decisions in its change log, the open issues, and any tacit knowledge not yet captured in the intent document.</w:t>
      </w:r>
    </w:p>
    <w:p>
      <w:pPr>
        <w:pStyle w:val="ListParagraph"/>
        <w:numPr>
          <w:ilvl w:val="0"/>
          <w:numId w:val="2"/>
        </w:numPr>
        <w:spacing w:after="70"/>
      </w:pPr>
      <w:r>
        <w:rPr>
          <w:rFonts w:ascii="Arial" w:cs="Arial" w:eastAsia="Arial" w:hAnsi="Arial"/>
          <w:color w:val="1a202c"/>
          <w:sz w:val="21"/>
          <w:szCs w:val="21"/>
        </w:rPr>
        <w:t xml:space="preserve">Intent document update — any tacit knowledge surfaced during handover is added to the intent document so it survives future transitions.</w:t>
      </w:r>
    </w:p>
    <w:p>
      <w:pPr>
        <w:pStyle w:val="ListParagraph"/>
        <w:numPr>
          <w:ilvl w:val="0"/>
          <w:numId w:val="2"/>
        </w:numPr>
        <w:spacing w:after="70"/>
      </w:pPr>
      <w:r>
        <w:rPr>
          <w:rFonts w:ascii="Arial" w:cs="Arial" w:eastAsia="Arial" w:hAnsi="Arial"/>
          <w:color w:val="1a202c"/>
          <w:sz w:val="21"/>
          <w:szCs w:val="21"/>
        </w:rPr>
        <w:t xml:space="preserve">Formal transfer — the contract's `current_owner` field is updated. The SRB witnesses the change.</w:t>
      </w:r>
    </w:p>
    <w:p>
      <w:pPr>
        <w:pStyle w:val="Heading3"/>
        <w:spacing w:after="80" w:before="220"/>
      </w:pPr>
      <w:r>
        <w:rPr>
          <w:rFonts w:ascii="Arial" w:cs="Arial" w:eastAsia="Arial" w:hAnsi="Arial"/>
          <w:b/>
          <w:bCs/>
          <w:color w:val="004271"/>
          <w:sz w:val="23"/>
          <w:szCs w:val="23"/>
        </w:rPr>
        <w:t xml:space="preserve">Why this is formal</w:t>
      </w:r>
    </w:p>
    <w:p>
      <w:pPr>
        <w:spacing w:after="140"/>
        <w:jc w:val="both"/>
      </w:pPr>
      <w:r>
        <w:rPr>
          <w:rFonts w:ascii="Arial" w:cs="Arial" w:eastAsia="Arial" w:hAnsi="Arial"/>
          <w:color w:val="1a202c"/>
          <w:sz w:val="21"/>
          <w:szCs w:val="21"/>
        </w:rPr>
        <w:t xml:space="preserve">Informal handovers lose information. Shadow periods matter because tacit knowledge only surfaces under pressure of real decisions. The intent document update is the most important part of the protocol — it is how a system's knowledge of itself persists across generations of maintainers.</w:t>
      </w:r>
    </w:p>
    <w:p>
      <w:pPr>
        <w:pStyle w:val="Heading2"/>
        <w:spacing w:after="100" w:before="320"/>
      </w:pPr>
      <w:r>
        <w:rPr>
          <w:rFonts w:ascii="Arial" w:cs="Arial" w:eastAsia="Arial" w:hAnsi="Arial"/>
          <w:b/>
          <w:bCs/>
          <w:color w:val="1a202c"/>
          <w:sz w:val="28"/>
          <w:szCs w:val="28"/>
        </w:rPr>
        <w:t xml:space="preserve">11.5 Major Version Review Protocol</w:t>
      </w:r>
    </w:p>
    <w:p>
      <w:pPr>
        <w:spacing w:after="140"/>
        <w:jc w:val="both"/>
      </w:pPr>
      <w:r>
        <w:rPr>
          <w:rFonts w:ascii="Arial" w:cs="Arial" w:eastAsia="Arial" w:hAnsi="Arial"/>
          <w:color w:val="1a202c"/>
          <w:sz w:val="21"/>
          <w:szCs w:val="21"/>
        </w:rPr>
        <w:t xml:space="preserve">The highest-ceremony governance activity. Invoked when a sealed contract must be retired and replaced because its fundamental premise is no longer correct, or when a set of sealed contracts must be retired together as the system undergoes a purpose change.</w:t>
      </w:r>
    </w:p>
    <w:p>
      <w:pPr>
        <w:pStyle w:val="Heading3"/>
        <w:spacing w:after="80" w:before="220"/>
      </w:pPr>
      <w:r>
        <w:rPr>
          <w:rFonts w:ascii="Arial" w:cs="Arial" w:eastAsia="Arial" w:hAnsi="Arial"/>
          <w:b/>
          <w:bCs/>
          <w:color w:val="004271"/>
          <w:sz w:val="23"/>
          <w:szCs w:val="23"/>
        </w:rPr>
        <w:t xml:space="preserve">Triggers</w:t>
      </w:r>
    </w:p>
    <w:p>
      <w:pPr>
        <w:spacing w:after="140"/>
        <w:jc w:val="both"/>
      </w:pPr>
      <w:r>
        <w:rPr>
          <w:rFonts w:ascii="Arial" w:cs="Arial" w:eastAsia="Arial" w:hAnsi="Arial"/>
          <w:color w:val="1a202c"/>
          <w:sz w:val="21"/>
          <w:szCs w:val="21"/>
        </w:rPr>
        <w:t xml:space="preserve">A Major Version Review is triggered by one of:</w:t>
      </w:r>
    </w:p>
    <w:p>
      <w:pPr>
        <w:pStyle w:val="ListParagraph"/>
        <w:numPr>
          <w:ilvl w:val="0"/>
          <w:numId w:val="3"/>
        </w:numPr>
        <w:spacing w:after="70"/>
      </w:pPr>
      <w:r>
        <w:rPr>
          <w:rFonts w:ascii="Arial" w:cs="Arial" w:eastAsia="Arial" w:hAnsi="Arial"/>
          <w:color w:val="1a202c"/>
          <w:sz w:val="21"/>
          <w:szCs w:val="21"/>
        </w:rPr>
        <w:t xml:space="preserve">Fundamental regulatory change that invalidates the current contract's design</w:t>
      </w:r>
    </w:p>
    <w:p>
      <w:pPr>
        <w:pStyle w:val="ListParagraph"/>
        <w:numPr>
          <w:ilvl w:val="0"/>
          <w:numId w:val="3"/>
        </w:numPr>
        <w:spacing w:after="70"/>
      </w:pPr>
      <w:r>
        <w:rPr>
          <w:rFonts w:ascii="Arial" w:cs="Arial" w:eastAsia="Arial" w:hAnsi="Arial"/>
          <w:color w:val="1a202c"/>
          <w:sz w:val="21"/>
          <w:szCs w:val="21"/>
        </w:rPr>
        <w:t xml:space="preserve">Business model pivot that makes the current sealed contracts irrelevant to the new purpose</w:t>
      </w:r>
    </w:p>
    <w:p>
      <w:pPr>
        <w:pStyle w:val="ListParagraph"/>
        <w:numPr>
          <w:ilvl w:val="0"/>
          <w:numId w:val="3"/>
        </w:numPr>
        <w:spacing w:after="70"/>
      </w:pPr>
      <w:r>
        <w:rPr>
          <w:rFonts w:ascii="Arial" w:cs="Arial" w:eastAsia="Arial" w:hAnsi="Arial"/>
          <w:color w:val="1a202c"/>
          <w:sz w:val="21"/>
          <w:szCs w:val="21"/>
        </w:rPr>
        <w:t xml:space="preserve">Technology shift so profound that maintaining the current contracts is costlier than replacing them</w:t>
      </w:r>
    </w:p>
    <w:p>
      <w:pPr>
        <w:pStyle w:val="ListParagraph"/>
        <w:numPr>
          <w:ilvl w:val="0"/>
          <w:numId w:val="3"/>
        </w:numPr>
        <w:spacing w:after="70"/>
      </w:pPr>
      <w:r>
        <w:rPr>
          <w:rFonts w:ascii="Arial" w:cs="Arial" w:eastAsia="Arial" w:hAnsi="Arial"/>
          <w:color w:val="1a202c"/>
          <w:sz w:val="21"/>
          <w:szCs w:val="21"/>
        </w:rPr>
        <w:t xml:space="preserve">Discovery of a flawed invariant that cannot be strengthened without breaking existing consumers</w:t>
      </w:r>
    </w:p>
    <w:p>
      <w:pPr>
        <w:spacing w:after="140"/>
        <w:jc w:val="both"/>
      </w:pPr>
      <w:r>
        <w:rPr>
          <w:rFonts w:ascii="Arial" w:cs="Arial" w:eastAsia="Arial" w:hAnsi="Arial"/>
          <w:color w:val="1a202c"/>
          <w:sz w:val="21"/>
          <w:szCs w:val="21"/>
        </w:rPr>
        <w:t xml:space="preserve">The bar is deliberately high. Most changes are not Major Version Reviews; they are extensions or parallel-live replacements. MVR is reserved for genuine transformation.</w:t>
      </w:r>
    </w:p>
    <w:p>
      <w:pPr>
        <w:pStyle w:val="Heading3"/>
        <w:spacing w:after="80" w:before="220"/>
      </w:pPr>
      <w:r>
        <w:rPr>
          <w:rFonts w:ascii="Arial" w:cs="Arial" w:eastAsia="Arial" w:hAnsi="Arial"/>
          <w:b/>
          <w:bCs/>
          <w:color w:val="004271"/>
          <w:sz w:val="23"/>
          <w:szCs w:val="23"/>
        </w:rPr>
        <w:t xml:space="preserve">Steps</w:t>
      </w:r>
    </w:p>
    <w:p>
      <w:pPr>
        <w:pStyle w:val="ListParagraph"/>
        <w:numPr>
          <w:ilvl w:val="0"/>
          <w:numId w:val="2"/>
        </w:numPr>
        <w:spacing w:after="70"/>
      </w:pPr>
      <w:r>
        <w:rPr>
          <w:rFonts w:ascii="Arial" w:cs="Arial" w:eastAsia="Arial" w:hAnsi="Arial"/>
          <w:color w:val="1a202c"/>
          <w:sz w:val="21"/>
          <w:szCs w:val="21"/>
        </w:rPr>
        <w:t xml:space="preserve">Formal proposal — a written document explaining why the current contracts can no longer hold, what would replace them, and what the expected transition cost is.</w:t>
      </w:r>
    </w:p>
    <w:p>
      <w:pPr>
        <w:pStyle w:val="ListParagraph"/>
        <w:numPr>
          <w:ilvl w:val="0"/>
          <w:numId w:val="2"/>
        </w:numPr>
        <w:spacing w:after="70"/>
      </w:pPr>
      <w:r>
        <w:rPr>
          <w:rFonts w:ascii="Arial" w:cs="Arial" w:eastAsia="Arial" w:hAnsi="Arial"/>
          <w:color w:val="1a202c"/>
          <w:sz w:val="21"/>
          <w:szCs w:val="21"/>
        </w:rPr>
        <w:t xml:space="preserve">Executive sponsor — an executive (CTO, VP Engineering, or equivalent) must co-sponsor the proposal. Without executive sponsorship, MVR does not proceed.</w:t>
      </w:r>
    </w:p>
    <w:p>
      <w:pPr>
        <w:pStyle w:val="ListParagraph"/>
        <w:numPr>
          <w:ilvl w:val="0"/>
          <w:numId w:val="2"/>
        </w:numPr>
        <w:spacing w:after="70"/>
      </w:pPr>
      <w:r>
        <w:rPr>
          <w:rFonts w:ascii="Arial" w:cs="Arial" w:eastAsia="Arial" w:hAnsi="Arial"/>
          <w:color w:val="1a202c"/>
          <w:sz w:val="21"/>
          <w:szCs w:val="21"/>
        </w:rPr>
        <w:t xml:space="preserve">Review period — minimum 60 days, typically 90. During this time the current contracts remain sealed and unmodified.</w:t>
      </w:r>
    </w:p>
    <w:p>
      <w:pPr>
        <w:pStyle w:val="ListParagraph"/>
        <w:numPr>
          <w:ilvl w:val="0"/>
          <w:numId w:val="2"/>
        </w:numPr>
        <w:spacing w:after="70"/>
      </w:pPr>
      <w:r>
        <w:rPr>
          <w:rFonts w:ascii="Arial" w:cs="Arial" w:eastAsia="Arial" w:hAnsi="Arial"/>
          <w:color w:val="1a202c"/>
          <w:sz w:val="21"/>
          <w:szCs w:val="21"/>
        </w:rPr>
        <w:t xml:space="preserve">Replacement design — new contract set is designed, with its own intent documents, during the review period.</w:t>
      </w:r>
    </w:p>
    <w:p>
      <w:pPr>
        <w:pStyle w:val="ListParagraph"/>
        <w:numPr>
          <w:ilvl w:val="0"/>
          <w:numId w:val="2"/>
        </w:numPr>
        <w:spacing w:after="70"/>
      </w:pPr>
      <w:r>
        <w:rPr>
          <w:rFonts w:ascii="Arial" w:cs="Arial" w:eastAsia="Arial" w:hAnsi="Arial"/>
          <w:color w:val="1a202c"/>
          <w:sz w:val="21"/>
          <w:szCs w:val="21"/>
        </w:rPr>
        <w:t xml:space="preserve">SRB approval — the Board votes. Unanimous approval is required, not majority. Dissent triggers further review.</w:t>
      </w:r>
    </w:p>
    <w:p>
      <w:pPr>
        <w:pStyle w:val="ListParagraph"/>
        <w:numPr>
          <w:ilvl w:val="0"/>
          <w:numId w:val="2"/>
        </w:numPr>
        <w:spacing w:after="70"/>
      </w:pPr>
      <w:r>
        <w:rPr>
          <w:rFonts w:ascii="Arial" w:cs="Arial" w:eastAsia="Arial" w:hAnsi="Arial"/>
          <w:color w:val="1a202c"/>
          <w:sz w:val="21"/>
          <w:szCs w:val="21"/>
        </w:rPr>
        <w:t xml:space="preserve">Parallel-live transition — both contract sets are operational for a defined period (typically 6-12 months for enterprise systems).</w:t>
      </w:r>
    </w:p>
    <w:p>
      <w:pPr>
        <w:pStyle w:val="ListParagraph"/>
        <w:numPr>
          <w:ilvl w:val="0"/>
          <w:numId w:val="2"/>
        </w:numPr>
        <w:spacing w:after="70"/>
      </w:pPr>
      <w:r>
        <w:rPr>
          <w:rFonts w:ascii="Arial" w:cs="Arial" w:eastAsia="Arial" w:hAnsi="Arial"/>
          <w:color w:val="1a202c"/>
          <w:sz w:val="21"/>
          <w:szCs w:val="21"/>
        </w:rPr>
        <w:t xml:space="preserve">Migration period — consumers migrate from old contracts to new. The old set continues functioning.</w:t>
      </w:r>
    </w:p>
    <w:p>
      <w:pPr>
        <w:pStyle w:val="ListParagraph"/>
        <w:numPr>
          <w:ilvl w:val="0"/>
          <w:numId w:val="2"/>
        </w:numPr>
        <w:spacing w:after="70"/>
      </w:pPr>
      <w:r>
        <w:rPr>
          <w:rFonts w:ascii="Arial" w:cs="Arial" w:eastAsia="Arial" w:hAnsi="Arial"/>
          <w:color w:val="1a202c"/>
          <w:sz w:val="21"/>
          <w:szCs w:val="21"/>
        </w:rPr>
        <w:t xml:space="preserve">Retirement ceremony — when the last consumer has migrated, the old contracts are formally retired. Their specifications are preserved in the archival record; they do not disappear, they are marked 'retired' with the full history intact.</w:t>
      </w:r>
    </w:p>
    <w:p>
      <w:pPr>
        <w:pStyle w:val="ListParagraph"/>
        <w:numPr>
          <w:ilvl w:val="0"/>
          <w:numId w:val="2"/>
        </w:numPr>
        <w:spacing w:after="70"/>
      </w:pPr>
      <w:r>
        <w:rPr>
          <w:rFonts w:ascii="Arial" w:cs="Arial" w:eastAsia="Arial" w:hAnsi="Arial"/>
          <w:color w:val="1a202c"/>
          <w:sz w:val="21"/>
          <w:szCs w:val="21"/>
        </w:rPr>
        <w:t xml:space="preserve">Version increment — the overall system's architectural version increments. This is the public signal that a major generational change has occurred.</w:t>
      </w:r>
    </w:p>
    <w:p>
      <w:pPr>
        <w:pStyle w:val="Heading3"/>
        <w:spacing w:after="80" w:before="220"/>
      </w:pPr>
      <w:r>
        <w:rPr>
          <w:rFonts w:ascii="Arial" w:cs="Arial" w:eastAsia="Arial" w:hAnsi="Arial"/>
          <w:b/>
          <w:bCs/>
          <w:color w:val="004271"/>
          <w:sz w:val="23"/>
          <w:szCs w:val="23"/>
        </w:rPr>
        <w:t xml:space="preserve">How often this should happen</w:t>
      </w:r>
    </w:p>
    <w:p>
      <w:pPr>
        <w:spacing w:after="140"/>
        <w:jc w:val="both"/>
      </w:pPr>
      <w:r>
        <w:rPr>
          <w:rFonts w:ascii="Arial" w:cs="Arial" w:eastAsia="Arial" w:hAnsi="Arial"/>
          <w:color w:val="1a202c"/>
          <w:sz w:val="21"/>
          <w:szCs w:val="21"/>
        </w:rPr>
        <w:t xml:space="preserve">An enterprise system will undergo a Major Version Bump approximately every 5-10 years. If it happens more often, the contracts were insufficiently future-proof (the gaps in Section 2 were not adequately addressed at design time). If it never happens, the system is probably ossified and nobody is willing to face the ceremony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10"/>
              <w:left w:val="single" w:color="002b4d" w:sz="10"/>
              <w:bottom w:val="single" w:color="002b4d" w:sz="10"/>
              <w:right w:val="single" w:color="002b4d" w:sz="10"/>
            </w:tcBorders>
            <w:shd w:fill="e7eef5" w:val="clear"/>
            <w:tcMar>
              <w:top w:type="dxa" w:w="180"/>
              <w:left w:type="dxa" w:w="220"/>
              <w:bottom w:type="dxa" w:w="180"/>
              <w:right w:type="dxa" w:w="220"/>
            </w:tcMar>
          </w:tcPr>
          <w:p>
            <w:pPr>
              <w:spacing w:after="100"/>
            </w:pPr>
            <w:r>
              <w:rPr>
                <w:rFonts w:ascii="Arial" w:cs="Arial" w:eastAsia="Arial" w:hAnsi="Arial"/>
                <w:b/>
                <w:bCs/>
                <w:color w:val="002b4d"/>
                <w:sz w:val="23"/>
                <w:szCs w:val="23"/>
              </w:rPr>
              <w:t xml:space="preserve">The governance trade-off</w:t>
            </w:r>
          </w:p>
          <w:p>
            <w:pPr>
              <w:spacing w:after="70"/>
            </w:pPr>
            <w:r>
              <w:rPr>
                <w:rFonts w:ascii="Arial" w:cs="Arial" w:eastAsia="Arial" w:hAnsi="Arial"/>
                <w:color w:val="1a202c"/>
                <w:sz w:val="21"/>
                <w:szCs w:val="21"/>
              </w:rPr>
              <w:t xml:space="preserve">SEA governance is more formal than most current practice. This is a deliberate trade-off.</w:t>
            </w:r>
          </w:p>
          <w:p>
            <w:pPr>
              <w:spacing w:after="70"/>
            </w:pPr>
            <w:r>
              <w:rPr>
                <w:rFonts w:ascii="Arial" w:cs="Arial" w:eastAsia="Arial" w:hAnsi="Arial"/>
                <w:color w:val="1a202c"/>
                <w:sz w:val="21"/>
                <w:szCs w:val="21"/>
              </w:rPr>
              <w:t xml:space="preserve">Looser governance produces faster short-term delivery and faster long-term decay.</w:t>
            </w:r>
          </w:p>
          <w:p>
            <w:pPr>
              <w:spacing w:after="70"/>
            </w:pPr>
            <w:r>
              <w:rPr>
                <w:rFonts w:ascii="Arial" w:cs="Arial" w:eastAsia="Arial" w:hAnsi="Arial"/>
                <w:color w:val="1a202c"/>
                <w:sz w:val="21"/>
                <w:szCs w:val="21"/>
              </w:rPr>
              <w:t xml:space="preserve">Tighter governance produces slower short-term delivery and dramatically better long-term resilience.</w:t>
            </w:r>
          </w:p>
          <w:p>
            <w:pPr>
              <w:spacing w:after="70"/>
            </w:pPr>
            <w:r>
              <w:rPr>
                <w:rFonts w:ascii="Arial" w:cs="Arial" w:eastAsia="Arial" w:hAnsi="Arial"/>
                <w:color w:val="1a202c"/>
                <w:sz w:val="21"/>
                <w:szCs w:val="21"/>
              </w:rPr>
              <w:t xml:space="preserve">For systems with expected lifetimes over ten years, the trade favours tighter governance. For systems with shorter lifetimes, lighter governance may be appropriate — but those systems may also not need full SEA.</w:t>
            </w:r>
          </w:p>
          <w:p>
            <w:pPr>
              <w:spacing w:after="70"/>
            </w:pPr>
            <w:r>
              <w:rPr>
                <w:rFonts w:ascii="Arial" w:cs="Arial" w:eastAsia="Arial" w:hAnsi="Arial"/>
                <w:color w:val="1a202c"/>
                <w:sz w:val="21"/>
                <w:szCs w:val="21"/>
              </w:rPr>
              <w:t xml:space="preserve">Organisations adopting SEA must calibrate the governance weight to the stakes involved. The protocols in this section are the enterprise default; lightweight variants for smaller teams are addressed in Section 12.</w:t>
            </w:r>
          </w:p>
        </w:tc>
      </w:tr>
    </w:tbl>
    <w:p>
      <w:r>
        <w:br w:type="page"/>
      </w:r>
    </w:p>
    <w:p>
      <w:pPr>
        <w:spacing w:after="100" w:before="600"/>
        <w:jc w:val="center"/>
      </w:pPr>
      <w:r>
        <w:rPr>
          <w:rFonts w:ascii="Arial" w:cs="Arial" w:eastAsia="Arial" w:hAnsi="Arial"/>
          <w:b/>
          <w:bCs/>
          <w:color w:val="64748b"/>
          <w:sz w:val="24"/>
          <w:szCs w:val="24"/>
        </w:rPr>
        <w:t xml:space="preserve">PART IV</w:t>
      </w:r>
    </w:p>
    <w:p>
      <w:pPr>
        <w:spacing w:after="400"/>
        <w:jc w:val="center"/>
      </w:pPr>
      <w:r>
        <w:rPr>
          <w:rFonts w:ascii="Arial" w:cs="Arial" w:eastAsia="Arial" w:hAnsi="Arial"/>
          <w:b/>
          <w:bCs/>
          <w:color w:val="002b4d"/>
          <w:sz w:val="56"/>
          <w:szCs w:val="56"/>
        </w:rPr>
        <w:t xml:space="preserve">Adoption</w:t>
      </w:r>
    </w:p>
    <w:p>
      <w:pPr>
        <w:spacing w:after="200"/>
        <w:jc w:val="center"/>
      </w:pPr>
      <w:r>
        <w:rPr>
          <w:rFonts w:ascii="Arial" w:cs="Arial" w:eastAsia="Arial" w:hAnsi="Arial"/>
          <w:i/>
          <w:iCs/>
          <w:color w:val="1a202c"/>
          <w:sz w:val="24"/>
          <w:szCs w:val="24"/>
        </w:rPr>
        <w:t xml:space="preserve">From pilot to organisation-wide.
Relationship to existing practice.
What this unlocks.</w:t>
      </w:r>
    </w:p>
    <w:p>
      <w:r>
        <w:br w:type="page"/>
      </w:r>
    </w:p>
    <w:p>
      <w:pPr>
        <w:pStyle w:val="Heading1"/>
        <w:spacing w:after="160" w:before="480"/>
      </w:pPr>
      <w:r>
        <w:rPr>
          <w:rFonts w:ascii="Arial" w:cs="Arial" w:eastAsia="Arial" w:hAnsi="Arial"/>
          <w:b/>
          <w:bCs/>
          <w:color w:val="002b4d"/>
          <w:sz w:val="38"/>
          <w:szCs w:val="38"/>
        </w:rPr>
        <w:t xml:space="preserve">12. Enterprise Adoption Pathway</w:t>
      </w:r>
    </w:p>
    <w:p>
      <w:pPr>
        <w:spacing w:after="140"/>
        <w:jc w:val="both"/>
      </w:pPr>
      <w:r>
        <w:rPr>
          <w:rFonts w:ascii="Arial" w:cs="Arial" w:eastAsia="Arial" w:hAnsi="Arial"/>
          <w:color w:val="1a202c"/>
          <w:sz w:val="21"/>
          <w:szCs w:val="21"/>
        </w:rPr>
        <w:t xml:space="preserve">Sealed Enterprise Architecture is a foundational shift, not an incremental improvement. Organisations adopting it must do so deliberately, staged to manage risk, and with explicit integration into existing architectural practice. This section describes the pathway.</w:t>
      </w:r>
    </w:p>
    <w:p>
      <w:pPr>
        <w:spacing w:after="140"/>
        <w:jc w:val="both"/>
      </w:pPr>
      <w:r>
        <w:rPr>
          <w:rFonts w:ascii="Arial" w:cs="Arial" w:eastAsia="Arial" w:hAnsi="Arial"/>
          <w:color w:val="1a202c"/>
          <w:sz w:val="21"/>
          <w:szCs w:val="21"/>
        </w:rPr>
        <w:t xml:space="preserve">The pathway has five stages, each with its own scope, duration, and success criteria. Skipping stages produces one of the failure modes catalogued in Section 4 — usually Dissolution (adopting contract definition without governance) or Ossification (adopting governance without extension mechanisms). All five stages must complete before the organisation can claim full SEA adoption.</w:t>
      </w:r>
    </w:p>
    <w:p>
      <w:pPr>
        <w:pStyle w:val="Heading2"/>
        <w:spacing w:after="100" w:before="320"/>
      </w:pPr>
      <w:r>
        <w:rPr>
          <w:rFonts w:ascii="Arial" w:cs="Arial" w:eastAsia="Arial" w:hAnsi="Arial"/>
          <w:b/>
          <w:bCs/>
          <w:color w:val="1a202c"/>
          <w:sz w:val="28"/>
          <w:szCs w:val="28"/>
        </w:rPr>
        <w:t xml:space="preserve">12.1 Stage 1 — The Pilot (Months 1-3)</w:t>
      </w:r>
    </w:p>
    <w:p>
      <w:pPr>
        <w:spacing w:after="140"/>
        <w:jc w:val="both"/>
      </w:pPr>
      <w:r>
        <w:rPr>
          <w:rFonts w:ascii="Arial" w:cs="Arial" w:eastAsia="Arial" w:hAnsi="Arial"/>
          <w:color w:val="1a202c"/>
          <w:sz w:val="21"/>
          <w:szCs w:val="21"/>
        </w:rPr>
        <w:t xml:space="preserve">A single team, one or two sealed contracts, light governance. The goal of the pilot is to generate organisational learning — what does sealing actually feel like, in our specific technology context, with our specific people, solving our specific problems?</w:t>
      </w:r>
    </w:p>
    <w:p>
      <w:pPr>
        <w:pStyle w:val="Heading3"/>
        <w:spacing w:after="80" w:before="220"/>
      </w:pPr>
      <w:r>
        <w:rPr>
          <w:rFonts w:ascii="Arial" w:cs="Arial" w:eastAsia="Arial" w:hAnsi="Arial"/>
          <w:b/>
          <w:bCs/>
          <w:color w:val="004271"/>
          <w:sz w:val="23"/>
          <w:szCs w:val="23"/>
        </w:rPr>
        <w:t xml:space="preserve">Scope</w:t>
      </w:r>
    </w:p>
    <w:p>
      <w:pPr>
        <w:pStyle w:val="ListParagraph"/>
        <w:numPr>
          <w:ilvl w:val="0"/>
          <w:numId w:val="3"/>
        </w:numPr>
        <w:spacing w:after="70"/>
      </w:pPr>
      <w:r>
        <w:rPr>
          <w:rFonts w:ascii="Arial" w:cs="Arial" w:eastAsia="Arial" w:hAnsi="Arial"/>
          <w:color w:val="1a202c"/>
          <w:sz w:val="21"/>
          <w:szCs w:val="21"/>
        </w:rPr>
        <w:t xml:space="preserve">One team (5-10 engineers) volunteers or is nominated</w:t>
      </w:r>
    </w:p>
    <w:p>
      <w:pPr>
        <w:pStyle w:val="ListParagraph"/>
        <w:numPr>
          <w:ilvl w:val="0"/>
          <w:numId w:val="3"/>
        </w:numPr>
        <w:spacing w:after="70"/>
      </w:pPr>
      <w:r>
        <w:rPr>
          <w:rFonts w:ascii="Arial" w:cs="Arial" w:eastAsia="Arial" w:hAnsi="Arial"/>
          <w:color w:val="1a202c"/>
          <w:sz w:val="21"/>
          <w:szCs w:val="21"/>
        </w:rPr>
        <w:t xml:space="preserve">One or two contracts are drafted, for components the team knows well</w:t>
      </w:r>
    </w:p>
    <w:p>
      <w:pPr>
        <w:pStyle w:val="ListParagraph"/>
        <w:numPr>
          <w:ilvl w:val="0"/>
          <w:numId w:val="3"/>
        </w:numPr>
        <w:spacing w:after="70"/>
      </w:pPr>
      <w:r>
        <w:rPr>
          <w:rFonts w:ascii="Arial" w:cs="Arial" w:eastAsia="Arial" w:hAnsi="Arial"/>
          <w:color w:val="1a202c"/>
          <w:sz w:val="21"/>
          <w:szCs w:val="21"/>
        </w:rPr>
        <w:t xml:space="preserve">An Intent Document is written for each contract</w:t>
      </w:r>
    </w:p>
    <w:p>
      <w:pPr>
        <w:pStyle w:val="ListParagraph"/>
        <w:numPr>
          <w:ilvl w:val="0"/>
          <w:numId w:val="3"/>
        </w:numPr>
        <w:spacing w:after="70"/>
      </w:pPr>
      <w:r>
        <w:rPr>
          <w:rFonts w:ascii="Arial" w:cs="Arial" w:eastAsia="Arial" w:hAnsi="Arial"/>
          <w:color w:val="1a202c"/>
          <w:sz w:val="21"/>
          <w:szCs w:val="21"/>
        </w:rPr>
        <w:t xml:space="preserve">A lightweight verifier is built — not production-grade, proof-of-concept</w:t>
      </w:r>
    </w:p>
    <w:p>
      <w:pPr>
        <w:pStyle w:val="ListParagraph"/>
        <w:numPr>
          <w:ilvl w:val="0"/>
          <w:numId w:val="3"/>
        </w:numPr>
        <w:spacing w:after="70"/>
      </w:pPr>
      <w:r>
        <w:rPr>
          <w:rFonts w:ascii="Arial" w:cs="Arial" w:eastAsia="Arial" w:hAnsi="Arial"/>
          <w:color w:val="1a202c"/>
          <w:sz w:val="21"/>
          <w:szCs w:val="21"/>
        </w:rPr>
        <w:t xml:space="preserve">Governance is informal — the team itself acts as Owner/Reviewer/Board</w:t>
      </w:r>
    </w:p>
    <w:p>
      <w:pPr>
        <w:pStyle w:val="Heading3"/>
        <w:spacing w:after="80" w:before="220"/>
      </w:pPr>
      <w:r>
        <w:rPr>
          <w:rFonts w:ascii="Arial" w:cs="Arial" w:eastAsia="Arial" w:hAnsi="Arial"/>
          <w:b/>
          <w:bCs/>
          <w:color w:val="004271"/>
          <w:sz w:val="23"/>
          <w:szCs w:val="23"/>
        </w:rPr>
        <w:t xml:space="preserve">Success criteria</w:t>
      </w:r>
    </w:p>
    <w:p>
      <w:pPr>
        <w:pStyle w:val="ListParagraph"/>
        <w:numPr>
          <w:ilvl w:val="0"/>
          <w:numId w:val="3"/>
        </w:numPr>
        <w:spacing w:after="70"/>
      </w:pPr>
      <w:r>
        <w:rPr>
          <w:rFonts w:ascii="Arial" w:cs="Arial" w:eastAsia="Arial" w:hAnsi="Arial"/>
          <w:color w:val="1a202c"/>
          <w:sz w:val="21"/>
          <w:szCs w:val="21"/>
        </w:rPr>
        <w:t xml:space="preserve">The team can articulate, in their own words, why each sealed contract is sealed</w:t>
      </w:r>
    </w:p>
    <w:p>
      <w:pPr>
        <w:pStyle w:val="ListParagraph"/>
        <w:numPr>
          <w:ilvl w:val="0"/>
          <w:numId w:val="3"/>
        </w:numPr>
        <w:spacing w:after="70"/>
      </w:pPr>
      <w:r>
        <w:rPr>
          <w:rFonts w:ascii="Arial" w:cs="Arial" w:eastAsia="Arial" w:hAnsi="Arial"/>
          <w:color w:val="1a202c"/>
          <w:sz w:val="21"/>
          <w:szCs w:val="21"/>
        </w:rPr>
        <w:t xml:space="preserve">At least one extension has been proposed, reviewed, and implemented using the protocol</w:t>
      </w:r>
    </w:p>
    <w:p>
      <w:pPr>
        <w:pStyle w:val="ListParagraph"/>
        <w:numPr>
          <w:ilvl w:val="0"/>
          <w:numId w:val="3"/>
        </w:numPr>
        <w:spacing w:after="70"/>
      </w:pPr>
      <w:r>
        <w:rPr>
          <w:rFonts w:ascii="Arial" w:cs="Arial" w:eastAsia="Arial" w:hAnsi="Arial"/>
          <w:color w:val="1a202c"/>
          <w:sz w:val="21"/>
          <w:szCs w:val="21"/>
        </w:rPr>
        <w:t xml:space="preserve">The team has identified at least one case where sealing would have prevented a past incident</w:t>
      </w:r>
    </w:p>
    <w:p>
      <w:pPr>
        <w:pStyle w:val="ListParagraph"/>
        <w:numPr>
          <w:ilvl w:val="0"/>
          <w:numId w:val="3"/>
        </w:numPr>
        <w:spacing w:after="70"/>
      </w:pPr>
      <w:r>
        <w:rPr>
          <w:rFonts w:ascii="Arial" w:cs="Arial" w:eastAsia="Arial" w:hAnsi="Arial"/>
          <w:color w:val="1a202c"/>
          <w:sz w:val="21"/>
          <w:szCs w:val="21"/>
        </w:rPr>
        <w:t xml:space="preserve">Engineering velocity has not collapsed (the pilot is not paralysing delivery)</w:t>
      </w:r>
    </w:p>
    <w:p>
      <w:pPr>
        <w:pStyle w:val="Heading3"/>
        <w:spacing w:after="80" w:before="220"/>
      </w:pPr>
      <w:r>
        <w:rPr>
          <w:rFonts w:ascii="Arial" w:cs="Arial" w:eastAsia="Arial" w:hAnsi="Arial"/>
          <w:b/>
          <w:bCs/>
          <w:color w:val="004271"/>
          <w:sz w:val="23"/>
          <w:szCs w:val="23"/>
        </w:rPr>
        <w:t xml:space="preserve">Typical outcome</w:t>
      </w:r>
    </w:p>
    <w:p>
      <w:pPr>
        <w:spacing w:after="140"/>
        <w:jc w:val="both"/>
      </w:pPr>
      <w:r>
        <w:rPr>
          <w:rFonts w:ascii="Arial" w:cs="Arial" w:eastAsia="Arial" w:hAnsi="Arial"/>
          <w:color w:val="1a202c"/>
          <w:sz w:val="21"/>
          <w:szCs w:val="21"/>
        </w:rPr>
        <w:t xml:space="preserve">Most pilots succeed at producing learning but fail at producing a template for scaling. That is expected. The purpose of the pilot is to reveal the organisation's specific frictions — which approvals take longest, where tacit knowledge is most concentrated, which kinds of change are hardest to propose. Those frictions inform Stage 2.</w:t>
      </w:r>
    </w:p>
    <w:p>
      <w:pPr>
        <w:pStyle w:val="Heading2"/>
        <w:spacing w:after="100" w:before="320"/>
      </w:pPr>
      <w:r>
        <w:rPr>
          <w:rFonts w:ascii="Arial" w:cs="Arial" w:eastAsia="Arial" w:hAnsi="Arial"/>
          <w:b/>
          <w:bCs/>
          <w:color w:val="1a202c"/>
          <w:sz w:val="28"/>
          <w:szCs w:val="28"/>
        </w:rPr>
        <w:t xml:space="preserve">12.2 Stage 2 — The Anchor Team (Months 3-9)</w:t>
      </w:r>
    </w:p>
    <w:p>
      <w:pPr>
        <w:spacing w:after="140"/>
        <w:jc w:val="both"/>
      </w:pPr>
      <w:r>
        <w:rPr>
          <w:rFonts w:ascii="Arial" w:cs="Arial" w:eastAsia="Arial" w:hAnsi="Arial"/>
          <w:color w:val="1a202c"/>
          <w:sz w:val="21"/>
          <w:szCs w:val="21"/>
        </w:rPr>
        <w:t xml:space="preserve">A team adopts SEA for its entire scope, not just a pilot component. This team becomes the organisation's anchor — the place where the full five-layer architecture is operational, and where the governance protocols are practised in earnest.</w:t>
      </w:r>
    </w:p>
    <w:p>
      <w:pPr>
        <w:pStyle w:val="Heading3"/>
        <w:spacing w:after="80" w:before="220"/>
      </w:pPr>
      <w:r>
        <w:rPr>
          <w:rFonts w:ascii="Arial" w:cs="Arial" w:eastAsia="Arial" w:hAnsi="Arial"/>
          <w:b/>
          <w:bCs/>
          <w:color w:val="004271"/>
          <w:sz w:val="23"/>
          <w:szCs w:val="23"/>
        </w:rPr>
        <w:t xml:space="preserve">Scope</w:t>
      </w:r>
    </w:p>
    <w:p>
      <w:pPr>
        <w:pStyle w:val="ListParagraph"/>
        <w:numPr>
          <w:ilvl w:val="0"/>
          <w:numId w:val="3"/>
        </w:numPr>
        <w:spacing w:after="70"/>
      </w:pPr>
      <w:r>
        <w:rPr>
          <w:rFonts w:ascii="Arial" w:cs="Arial" w:eastAsia="Arial" w:hAnsi="Arial"/>
          <w:color w:val="1a202c"/>
          <w:sz w:val="21"/>
          <w:szCs w:val="21"/>
        </w:rPr>
        <w:t xml:space="preserve">One entire team (the pilot team is often, but not always, the anchor team)</w:t>
      </w:r>
    </w:p>
    <w:p>
      <w:pPr>
        <w:pStyle w:val="ListParagraph"/>
        <w:numPr>
          <w:ilvl w:val="0"/>
          <w:numId w:val="3"/>
        </w:numPr>
        <w:spacing w:after="70"/>
      </w:pPr>
      <w:r>
        <w:rPr>
          <w:rFonts w:ascii="Arial" w:cs="Arial" w:eastAsia="Arial" w:hAnsi="Arial"/>
          <w:color w:val="1a202c"/>
          <w:sz w:val="21"/>
          <w:szCs w:val="21"/>
        </w:rPr>
        <w:t xml:space="preserve">All contracts in the team's domain are identified and either sealed, deferred, or explicitly declared transient</w:t>
      </w:r>
    </w:p>
    <w:p>
      <w:pPr>
        <w:pStyle w:val="ListParagraph"/>
        <w:numPr>
          <w:ilvl w:val="0"/>
          <w:numId w:val="3"/>
        </w:numPr>
        <w:spacing w:after="70"/>
      </w:pPr>
      <w:r>
        <w:rPr>
          <w:rFonts w:ascii="Arial" w:cs="Arial" w:eastAsia="Arial" w:hAnsi="Arial"/>
          <w:color w:val="1a202c"/>
          <w:sz w:val="21"/>
          <w:szCs w:val="21"/>
        </w:rPr>
        <w:t xml:space="preserve">Full Intent Documents for each sealed contract</w:t>
      </w:r>
    </w:p>
    <w:p>
      <w:pPr>
        <w:pStyle w:val="ListParagraph"/>
        <w:numPr>
          <w:ilvl w:val="0"/>
          <w:numId w:val="3"/>
        </w:numPr>
        <w:spacing w:after="70"/>
      </w:pPr>
      <w:r>
        <w:rPr>
          <w:rFonts w:ascii="Arial" w:cs="Arial" w:eastAsia="Arial" w:hAnsi="Arial"/>
          <w:color w:val="1a202c"/>
          <w:sz w:val="21"/>
          <w:szCs w:val="21"/>
        </w:rPr>
        <w:t xml:space="preserve">Production-grade verifier integrated with CI/CD</w:t>
      </w:r>
    </w:p>
    <w:p>
      <w:pPr>
        <w:pStyle w:val="ListParagraph"/>
        <w:numPr>
          <w:ilvl w:val="0"/>
          <w:numId w:val="3"/>
        </w:numPr>
        <w:spacing w:after="70"/>
      </w:pPr>
      <w:r>
        <w:rPr>
          <w:rFonts w:ascii="Arial" w:cs="Arial" w:eastAsia="Arial" w:hAnsi="Arial"/>
          <w:color w:val="1a202c"/>
          <w:sz w:val="21"/>
          <w:szCs w:val="21"/>
        </w:rPr>
        <w:t xml:space="preserve">Formal Contract Owners and Reviewers named for each contract</w:t>
      </w:r>
    </w:p>
    <w:p>
      <w:pPr>
        <w:pStyle w:val="ListParagraph"/>
        <w:numPr>
          <w:ilvl w:val="0"/>
          <w:numId w:val="3"/>
        </w:numPr>
        <w:spacing w:after="70"/>
      </w:pPr>
      <w:r>
        <w:rPr>
          <w:rFonts w:ascii="Arial" w:cs="Arial" w:eastAsia="Arial" w:hAnsi="Arial"/>
          <w:color w:val="1a202c"/>
          <w:sz w:val="21"/>
          <w:szCs w:val="21"/>
        </w:rPr>
        <w:t xml:space="preserve">Quarterly Sealed Review Board convened, even if the 'Board' is just 3-4 senior engineers initially</w:t>
      </w:r>
    </w:p>
    <w:p>
      <w:pPr>
        <w:pStyle w:val="Heading3"/>
        <w:spacing w:after="80" w:before="220"/>
      </w:pPr>
      <w:r>
        <w:rPr>
          <w:rFonts w:ascii="Arial" w:cs="Arial" w:eastAsia="Arial" w:hAnsi="Arial"/>
          <w:b/>
          <w:bCs/>
          <w:color w:val="004271"/>
          <w:sz w:val="23"/>
          <w:szCs w:val="23"/>
        </w:rPr>
        <w:t xml:space="preserve">Success criteria</w:t>
      </w:r>
    </w:p>
    <w:p>
      <w:pPr>
        <w:pStyle w:val="ListParagraph"/>
        <w:numPr>
          <w:ilvl w:val="0"/>
          <w:numId w:val="3"/>
        </w:numPr>
        <w:spacing w:after="70"/>
      </w:pPr>
      <w:r>
        <w:rPr>
          <w:rFonts w:ascii="Arial" w:cs="Arial" w:eastAsia="Arial" w:hAnsi="Arial"/>
          <w:color w:val="1a202c"/>
          <w:sz w:val="21"/>
          <w:szCs w:val="21"/>
        </w:rPr>
        <w:t xml:space="preserve">Every new component added to the team's scope goes through the full extension protocol</w:t>
      </w:r>
    </w:p>
    <w:p>
      <w:pPr>
        <w:pStyle w:val="ListParagraph"/>
        <w:numPr>
          <w:ilvl w:val="0"/>
          <w:numId w:val="3"/>
        </w:numPr>
        <w:spacing w:after="70"/>
      </w:pPr>
      <w:r>
        <w:rPr>
          <w:rFonts w:ascii="Arial" w:cs="Arial" w:eastAsia="Arial" w:hAnsi="Arial"/>
          <w:color w:val="1a202c"/>
          <w:sz w:val="21"/>
          <w:szCs w:val="21"/>
        </w:rPr>
        <w:t xml:space="preserve">At least one ownership succession has been executed (engineers rotate, roles change — the protocol must be exercised)</w:t>
      </w:r>
    </w:p>
    <w:p>
      <w:pPr>
        <w:pStyle w:val="ListParagraph"/>
        <w:numPr>
          <w:ilvl w:val="0"/>
          <w:numId w:val="3"/>
        </w:numPr>
        <w:spacing w:after="70"/>
      </w:pPr>
      <w:r>
        <w:rPr>
          <w:rFonts w:ascii="Arial" w:cs="Arial" w:eastAsia="Arial" w:hAnsi="Arial"/>
          <w:color w:val="1a202c"/>
          <w:sz w:val="21"/>
          <w:szCs w:val="21"/>
        </w:rPr>
        <w:t xml:space="preserve">The anchor team's drift incident rate is measurably lower than comparable teams</w:t>
      </w:r>
    </w:p>
    <w:p>
      <w:pPr>
        <w:pStyle w:val="ListParagraph"/>
        <w:numPr>
          <w:ilvl w:val="0"/>
          <w:numId w:val="3"/>
        </w:numPr>
        <w:spacing w:after="70"/>
      </w:pPr>
      <w:r>
        <w:rPr>
          <w:rFonts w:ascii="Arial" w:cs="Arial" w:eastAsia="Arial" w:hAnsi="Arial"/>
          <w:color w:val="1a202c"/>
          <w:sz w:val="21"/>
          <w:szCs w:val="21"/>
        </w:rPr>
        <w:t xml:space="preserve">The Intent Documents are actively consulted during planning, not just written once and forgotten</w:t>
      </w:r>
    </w:p>
    <w:p>
      <w:pPr>
        <w:pStyle w:val="Heading3"/>
        <w:spacing w:after="80" w:before="220"/>
      </w:pPr>
      <w:r>
        <w:rPr>
          <w:rFonts w:ascii="Arial" w:cs="Arial" w:eastAsia="Arial" w:hAnsi="Arial"/>
          <w:b/>
          <w:bCs/>
          <w:color w:val="004271"/>
          <w:sz w:val="23"/>
          <w:szCs w:val="23"/>
        </w:rPr>
        <w:t xml:space="preserve">Typical outcome</w:t>
      </w:r>
    </w:p>
    <w:p>
      <w:pPr>
        <w:spacing w:after="140"/>
        <w:jc w:val="both"/>
      </w:pPr>
      <w:r>
        <w:rPr>
          <w:rFonts w:ascii="Arial" w:cs="Arial" w:eastAsia="Arial" w:hAnsi="Arial"/>
          <w:color w:val="1a202c"/>
          <w:sz w:val="21"/>
          <w:szCs w:val="21"/>
        </w:rPr>
        <w:t xml:space="preserve">The anchor team becomes the organisation's reference implementation. Other teams visit, shadow for a day, or rotate engineers through it to learn the practice. This is how SEA adoption propagates organically — through exposure, not mandate.</w:t>
      </w:r>
    </w:p>
    <w:p>
      <w:pPr>
        <w:pStyle w:val="Heading2"/>
        <w:spacing w:after="100" w:before="320"/>
      </w:pPr>
      <w:r>
        <w:rPr>
          <w:rFonts w:ascii="Arial" w:cs="Arial" w:eastAsia="Arial" w:hAnsi="Arial"/>
          <w:b/>
          <w:bCs/>
          <w:color w:val="1a202c"/>
          <w:sz w:val="28"/>
          <w:szCs w:val="28"/>
        </w:rPr>
        <w:t xml:space="preserve">12.3 Stage 3 — The Division (Months 9-18)</w:t>
      </w:r>
    </w:p>
    <w:p>
      <w:pPr>
        <w:spacing w:after="140"/>
        <w:jc w:val="both"/>
      </w:pPr>
      <w:r>
        <w:rPr>
          <w:rFonts w:ascii="Arial" w:cs="Arial" w:eastAsia="Arial" w:hAnsi="Arial"/>
          <w:color w:val="1a202c"/>
          <w:sz w:val="21"/>
          <w:szCs w:val="21"/>
        </w:rPr>
        <w:t xml:space="preserve">The division or business unit (typically 5-15 teams) adopts SEA. This is where the cross-team governance structures form, where the Sealed Review Board becomes a standing body, and where the practices that worked for one team must prove themselves under coordination overhead.</w:t>
      </w:r>
    </w:p>
    <w:p>
      <w:pPr>
        <w:pStyle w:val="Heading3"/>
        <w:spacing w:after="80" w:before="220"/>
      </w:pPr>
      <w:r>
        <w:rPr>
          <w:rFonts w:ascii="Arial" w:cs="Arial" w:eastAsia="Arial" w:hAnsi="Arial"/>
          <w:b/>
          <w:bCs/>
          <w:color w:val="004271"/>
          <w:sz w:val="23"/>
          <w:szCs w:val="23"/>
        </w:rPr>
        <w:t xml:space="preserve">Scope</w:t>
      </w:r>
    </w:p>
    <w:p>
      <w:pPr>
        <w:pStyle w:val="ListParagraph"/>
        <w:numPr>
          <w:ilvl w:val="0"/>
          <w:numId w:val="3"/>
        </w:numPr>
        <w:spacing w:after="70"/>
      </w:pPr>
      <w:r>
        <w:rPr>
          <w:rFonts w:ascii="Arial" w:cs="Arial" w:eastAsia="Arial" w:hAnsi="Arial"/>
          <w:color w:val="1a202c"/>
          <w:sz w:val="21"/>
          <w:szCs w:val="21"/>
        </w:rPr>
        <w:t xml:space="preserve">All teams in the division</w:t>
      </w:r>
    </w:p>
    <w:p>
      <w:pPr>
        <w:pStyle w:val="ListParagraph"/>
        <w:numPr>
          <w:ilvl w:val="0"/>
          <w:numId w:val="3"/>
        </w:numPr>
        <w:spacing w:after="70"/>
      </w:pPr>
      <w:r>
        <w:rPr>
          <w:rFonts w:ascii="Arial" w:cs="Arial" w:eastAsia="Arial" w:hAnsi="Arial"/>
          <w:color w:val="1a202c"/>
          <w:sz w:val="21"/>
          <w:szCs w:val="21"/>
        </w:rPr>
        <w:t xml:space="preserve">Cross-team contracts identified and sealed (these are often the most important — they are the actual architectural boundaries)</w:t>
      </w:r>
    </w:p>
    <w:p>
      <w:pPr>
        <w:pStyle w:val="ListParagraph"/>
        <w:numPr>
          <w:ilvl w:val="0"/>
          <w:numId w:val="3"/>
        </w:numPr>
        <w:spacing w:after="70"/>
      </w:pPr>
      <w:r>
        <w:rPr>
          <w:rFonts w:ascii="Arial" w:cs="Arial" w:eastAsia="Arial" w:hAnsi="Arial"/>
          <w:color w:val="1a202c"/>
          <w:sz w:val="21"/>
          <w:szCs w:val="21"/>
        </w:rPr>
        <w:t xml:space="preserve">A formal Sealed Review Board with rotating membership</w:t>
      </w:r>
    </w:p>
    <w:p>
      <w:pPr>
        <w:pStyle w:val="ListParagraph"/>
        <w:numPr>
          <w:ilvl w:val="0"/>
          <w:numId w:val="3"/>
        </w:numPr>
        <w:spacing w:after="70"/>
      </w:pPr>
      <w:r>
        <w:rPr>
          <w:rFonts w:ascii="Arial" w:cs="Arial" w:eastAsia="Arial" w:hAnsi="Arial"/>
          <w:color w:val="1a202c"/>
          <w:sz w:val="21"/>
          <w:szCs w:val="21"/>
        </w:rPr>
        <w:t xml:space="preserve">A dedicated Platform Team maintaining verifier tooling across the stack variations in use</w:t>
      </w:r>
    </w:p>
    <w:p>
      <w:pPr>
        <w:pStyle w:val="ListParagraph"/>
        <w:numPr>
          <w:ilvl w:val="0"/>
          <w:numId w:val="3"/>
        </w:numPr>
        <w:spacing w:after="70"/>
      </w:pPr>
      <w:r>
        <w:rPr>
          <w:rFonts w:ascii="Arial" w:cs="Arial" w:eastAsia="Arial" w:hAnsi="Arial"/>
          <w:color w:val="1a202c"/>
          <w:sz w:val="21"/>
          <w:szCs w:val="21"/>
        </w:rPr>
        <w:t xml:space="preserve">Integration with existing delivery processes (Scrum, SAFe, Kanban — whichever the division uses)</w:t>
      </w:r>
    </w:p>
    <w:p>
      <w:pPr>
        <w:pStyle w:val="Heading3"/>
        <w:spacing w:after="80" w:before="220"/>
      </w:pPr>
      <w:r>
        <w:rPr>
          <w:rFonts w:ascii="Arial" w:cs="Arial" w:eastAsia="Arial" w:hAnsi="Arial"/>
          <w:b/>
          <w:bCs/>
          <w:color w:val="004271"/>
          <w:sz w:val="23"/>
          <w:szCs w:val="23"/>
        </w:rPr>
        <w:t xml:space="preserve">Success criteria</w:t>
      </w:r>
    </w:p>
    <w:p>
      <w:pPr>
        <w:pStyle w:val="ListParagraph"/>
        <w:numPr>
          <w:ilvl w:val="0"/>
          <w:numId w:val="3"/>
        </w:numPr>
        <w:spacing w:after="70"/>
      </w:pPr>
      <w:r>
        <w:rPr>
          <w:rFonts w:ascii="Arial" w:cs="Arial" w:eastAsia="Arial" w:hAnsi="Arial"/>
          <w:color w:val="1a202c"/>
          <w:sz w:val="21"/>
          <w:szCs w:val="21"/>
        </w:rPr>
        <w:t xml:space="preserve">Quarterly contract reviews run on schedule, for all sealed contracts</w:t>
      </w:r>
    </w:p>
    <w:p>
      <w:pPr>
        <w:pStyle w:val="ListParagraph"/>
        <w:numPr>
          <w:ilvl w:val="0"/>
          <w:numId w:val="3"/>
        </w:numPr>
        <w:spacing w:after="70"/>
      </w:pPr>
      <w:r>
        <w:rPr>
          <w:rFonts w:ascii="Arial" w:cs="Arial" w:eastAsia="Arial" w:hAnsi="Arial"/>
          <w:color w:val="1a202c"/>
          <w:sz w:val="21"/>
          <w:szCs w:val="21"/>
        </w:rPr>
        <w:t xml:space="preserve">At least one parallel-live replacement has been executed successfully</w:t>
      </w:r>
    </w:p>
    <w:p>
      <w:pPr>
        <w:pStyle w:val="ListParagraph"/>
        <w:numPr>
          <w:ilvl w:val="0"/>
          <w:numId w:val="3"/>
        </w:numPr>
        <w:spacing w:after="70"/>
      </w:pPr>
      <w:r>
        <w:rPr>
          <w:rFonts w:ascii="Arial" w:cs="Arial" w:eastAsia="Arial" w:hAnsi="Arial"/>
          <w:color w:val="1a202c"/>
          <w:sz w:val="21"/>
          <w:szCs w:val="21"/>
        </w:rPr>
        <w:t xml:space="preserve">New engineers onboarding to teams in the division use the Intent Documents as primary orientation material</w:t>
      </w:r>
    </w:p>
    <w:p>
      <w:pPr>
        <w:pStyle w:val="ListParagraph"/>
        <w:numPr>
          <w:ilvl w:val="0"/>
          <w:numId w:val="3"/>
        </w:numPr>
        <w:spacing w:after="70"/>
      </w:pPr>
      <w:r>
        <w:rPr>
          <w:rFonts w:ascii="Arial" w:cs="Arial" w:eastAsia="Arial" w:hAnsi="Arial"/>
          <w:color w:val="1a202c"/>
          <w:sz w:val="21"/>
          <w:szCs w:val="21"/>
        </w:rPr>
        <w:t xml:space="preserve">The division's architectural coherence — measured by cross-team interface consistency — improves noticeably</w:t>
      </w:r>
    </w:p>
    <w:p>
      <w:pPr>
        <w:pStyle w:val="Heading3"/>
        <w:spacing w:after="80" w:before="220"/>
      </w:pPr>
      <w:r>
        <w:rPr>
          <w:rFonts w:ascii="Arial" w:cs="Arial" w:eastAsia="Arial" w:hAnsi="Arial"/>
          <w:b/>
          <w:bCs/>
          <w:color w:val="004271"/>
          <w:sz w:val="23"/>
          <w:szCs w:val="23"/>
        </w:rPr>
        <w:t xml:space="preserve">Typical outcome</w:t>
      </w:r>
    </w:p>
    <w:p>
      <w:pPr>
        <w:spacing w:after="140"/>
        <w:jc w:val="both"/>
      </w:pPr>
      <w:r>
        <w:rPr>
          <w:rFonts w:ascii="Arial" w:cs="Arial" w:eastAsia="Arial" w:hAnsi="Arial"/>
          <w:color w:val="1a202c"/>
          <w:sz w:val="21"/>
          <w:szCs w:val="21"/>
        </w:rPr>
        <w:t xml:space="preserve">Stage 3 is where most adoption attempts either succeed or fail. The governance overhead, the coordination cost, and the cultural shift all come together. Success looks like a division that delivers slightly slower than before, but with dramatically lower firefighting and rework. Failure looks like governance theatre — contracts exist on paper, nobody exercises the protocols, the division reverts to ad-hoc practice.</w:t>
      </w:r>
    </w:p>
    <w:p>
      <w:pPr>
        <w:pStyle w:val="Heading2"/>
        <w:spacing w:after="100" w:before="320"/>
      </w:pPr>
      <w:r>
        <w:rPr>
          <w:rFonts w:ascii="Arial" w:cs="Arial" w:eastAsia="Arial" w:hAnsi="Arial"/>
          <w:b/>
          <w:bCs/>
          <w:color w:val="1a202c"/>
          <w:sz w:val="28"/>
          <w:szCs w:val="28"/>
        </w:rPr>
        <w:t xml:space="preserve">12.4 Stage 4 — The Organisation (Months 18-36)</w:t>
      </w:r>
    </w:p>
    <w:p>
      <w:pPr>
        <w:spacing w:after="140"/>
        <w:jc w:val="both"/>
      </w:pPr>
      <w:r>
        <w:rPr>
          <w:rFonts w:ascii="Arial" w:cs="Arial" w:eastAsia="Arial" w:hAnsi="Arial"/>
          <w:color w:val="1a202c"/>
          <w:sz w:val="21"/>
          <w:szCs w:val="21"/>
        </w:rPr>
        <w:t xml:space="preserve">SEA becomes the default architectural practice for the organisation. New systems are designed with sealed contracts from day one. Existing systems are retrofitted opportunistically — no 'big migration,' just incremental adoption as existing systems undergo major changes anyway.</w:t>
      </w:r>
    </w:p>
    <w:p>
      <w:pPr>
        <w:pStyle w:val="Heading3"/>
        <w:spacing w:after="80" w:before="220"/>
      </w:pPr>
      <w:r>
        <w:rPr>
          <w:rFonts w:ascii="Arial" w:cs="Arial" w:eastAsia="Arial" w:hAnsi="Arial"/>
          <w:b/>
          <w:bCs/>
          <w:color w:val="004271"/>
          <w:sz w:val="23"/>
          <w:szCs w:val="23"/>
        </w:rPr>
        <w:t xml:space="preserve">Scope</w:t>
      </w:r>
    </w:p>
    <w:p>
      <w:pPr>
        <w:pStyle w:val="ListParagraph"/>
        <w:numPr>
          <w:ilvl w:val="0"/>
          <w:numId w:val="3"/>
        </w:numPr>
        <w:spacing w:after="70"/>
      </w:pPr>
      <w:r>
        <w:rPr>
          <w:rFonts w:ascii="Arial" w:cs="Arial" w:eastAsia="Arial" w:hAnsi="Arial"/>
          <w:color w:val="1a202c"/>
          <w:sz w:val="21"/>
          <w:szCs w:val="21"/>
        </w:rPr>
        <w:t xml:space="preserve">All new systems are SEA-governed</w:t>
      </w:r>
    </w:p>
    <w:p>
      <w:pPr>
        <w:pStyle w:val="ListParagraph"/>
        <w:numPr>
          <w:ilvl w:val="0"/>
          <w:numId w:val="3"/>
        </w:numPr>
        <w:spacing w:after="70"/>
      </w:pPr>
      <w:r>
        <w:rPr>
          <w:rFonts w:ascii="Arial" w:cs="Arial" w:eastAsia="Arial" w:hAnsi="Arial"/>
          <w:color w:val="1a202c"/>
          <w:sz w:val="21"/>
          <w:szCs w:val="21"/>
        </w:rPr>
        <w:t xml:space="preserve">Existing systems adopt SEA incrementally — typically when a major change was going to happen anyway</w:t>
      </w:r>
    </w:p>
    <w:p>
      <w:pPr>
        <w:pStyle w:val="ListParagraph"/>
        <w:numPr>
          <w:ilvl w:val="0"/>
          <w:numId w:val="3"/>
        </w:numPr>
        <w:spacing w:after="70"/>
      </w:pPr>
      <w:r>
        <w:rPr>
          <w:rFonts w:ascii="Arial" w:cs="Arial" w:eastAsia="Arial" w:hAnsi="Arial"/>
          <w:color w:val="1a202c"/>
          <w:sz w:val="21"/>
          <w:szCs w:val="21"/>
        </w:rPr>
        <w:t xml:space="preserve">Multiple Sealed Review Boards exist (one per major domain), coordinating through periodic cross-board sessions</w:t>
      </w:r>
    </w:p>
    <w:p>
      <w:pPr>
        <w:pStyle w:val="ListParagraph"/>
        <w:numPr>
          <w:ilvl w:val="0"/>
          <w:numId w:val="3"/>
        </w:numPr>
        <w:spacing w:after="70"/>
      </w:pPr>
      <w:r>
        <w:rPr>
          <w:rFonts w:ascii="Arial" w:cs="Arial" w:eastAsia="Arial" w:hAnsi="Arial"/>
          <w:color w:val="1a202c"/>
          <w:sz w:val="21"/>
          <w:szCs w:val="21"/>
        </w:rPr>
        <w:t xml:space="preserve">SEA terminology becomes organisational vernacular — 'that's a pillar-level change,' 'we need an MVR for that'</w:t>
      </w:r>
    </w:p>
    <w:p>
      <w:pPr>
        <w:pStyle w:val="Heading3"/>
        <w:spacing w:after="80" w:before="220"/>
      </w:pPr>
      <w:r>
        <w:rPr>
          <w:rFonts w:ascii="Arial" w:cs="Arial" w:eastAsia="Arial" w:hAnsi="Arial"/>
          <w:b/>
          <w:bCs/>
          <w:color w:val="004271"/>
          <w:sz w:val="23"/>
          <w:szCs w:val="23"/>
        </w:rPr>
        <w:t xml:space="preserve">Success criteria</w:t>
      </w:r>
    </w:p>
    <w:p>
      <w:pPr>
        <w:pStyle w:val="ListParagraph"/>
        <w:numPr>
          <w:ilvl w:val="0"/>
          <w:numId w:val="3"/>
        </w:numPr>
        <w:spacing w:after="70"/>
      </w:pPr>
      <w:r>
        <w:rPr>
          <w:rFonts w:ascii="Arial" w:cs="Arial" w:eastAsia="Arial" w:hAnsi="Arial"/>
          <w:color w:val="1a202c"/>
          <w:sz w:val="21"/>
          <w:szCs w:val="21"/>
        </w:rPr>
        <w:t xml:space="preserve">New-system design-to-production time has not lengthened compared to pre-SEA baselines (the upfront investment has been absorbed)</w:t>
      </w:r>
    </w:p>
    <w:p>
      <w:pPr>
        <w:pStyle w:val="ListParagraph"/>
        <w:numPr>
          <w:ilvl w:val="0"/>
          <w:numId w:val="3"/>
        </w:numPr>
        <w:spacing w:after="70"/>
      </w:pPr>
      <w:r>
        <w:rPr>
          <w:rFonts w:ascii="Arial" w:cs="Arial" w:eastAsia="Arial" w:hAnsi="Arial"/>
          <w:color w:val="1a202c"/>
          <w:sz w:val="21"/>
          <w:szCs w:val="21"/>
        </w:rPr>
        <w:t xml:space="preserve">The organisation can name its sealed contracts at the portfolio level</w:t>
      </w:r>
    </w:p>
    <w:p>
      <w:pPr>
        <w:pStyle w:val="ListParagraph"/>
        <w:numPr>
          <w:ilvl w:val="0"/>
          <w:numId w:val="3"/>
        </w:numPr>
        <w:spacing w:after="70"/>
      </w:pPr>
      <w:r>
        <w:rPr>
          <w:rFonts w:ascii="Arial" w:cs="Arial" w:eastAsia="Arial" w:hAnsi="Arial"/>
          <w:color w:val="1a202c"/>
          <w:sz w:val="21"/>
          <w:szCs w:val="21"/>
        </w:rPr>
        <w:t xml:space="preserve">Architectural decisions at the organisational level reference specific sealed contracts rather than abstract principles</w:t>
      </w:r>
    </w:p>
    <w:p>
      <w:pPr>
        <w:pStyle w:val="ListParagraph"/>
        <w:numPr>
          <w:ilvl w:val="0"/>
          <w:numId w:val="3"/>
        </w:numPr>
        <w:spacing w:after="70"/>
      </w:pPr>
      <w:r>
        <w:rPr>
          <w:rFonts w:ascii="Arial" w:cs="Arial" w:eastAsia="Arial" w:hAnsi="Arial"/>
          <w:color w:val="1a202c"/>
          <w:sz w:val="21"/>
          <w:szCs w:val="21"/>
        </w:rPr>
        <w:t xml:space="preserve">At least one Major Version Bump has been executed successfully</w:t>
      </w:r>
    </w:p>
    <w:p>
      <w:pPr>
        <w:pStyle w:val="Heading2"/>
        <w:spacing w:after="100" w:before="320"/>
      </w:pPr>
      <w:r>
        <w:rPr>
          <w:rFonts w:ascii="Arial" w:cs="Arial" w:eastAsia="Arial" w:hAnsi="Arial"/>
          <w:b/>
          <w:bCs/>
          <w:color w:val="1a202c"/>
          <w:sz w:val="28"/>
          <w:szCs w:val="28"/>
        </w:rPr>
        <w:t xml:space="preserve">12.5 Stage 5 — The Ecosystem (Months 36+)</w:t>
      </w:r>
    </w:p>
    <w:p>
      <w:pPr>
        <w:spacing w:after="140"/>
        <w:jc w:val="both"/>
      </w:pPr>
      <w:r>
        <w:rPr>
          <w:rFonts w:ascii="Arial" w:cs="Arial" w:eastAsia="Arial" w:hAnsi="Arial"/>
          <w:color w:val="1a202c"/>
          <w:sz w:val="21"/>
          <w:szCs w:val="21"/>
        </w:rPr>
        <w:t xml:space="preserve">The organisation's sealed contracts become part of its ecosystem — shared with partners, embedded in contracts with vendors, used in procurement specifications. This is where SEA's portability and AI-readability properties pay off in full: the durable artefacts travel with the system as it integrates with the world.</w:t>
      </w:r>
    </w:p>
    <w:p>
      <w:pPr>
        <w:pStyle w:val="Heading3"/>
        <w:spacing w:after="80" w:before="220"/>
      </w:pPr>
      <w:r>
        <w:rPr>
          <w:rFonts w:ascii="Arial" w:cs="Arial" w:eastAsia="Arial" w:hAnsi="Arial"/>
          <w:b/>
          <w:bCs/>
          <w:color w:val="004271"/>
          <w:sz w:val="23"/>
          <w:szCs w:val="23"/>
        </w:rPr>
        <w:t xml:space="preserve">Scope</w:t>
      </w:r>
    </w:p>
    <w:p>
      <w:pPr>
        <w:pStyle w:val="ListParagraph"/>
        <w:numPr>
          <w:ilvl w:val="0"/>
          <w:numId w:val="3"/>
        </w:numPr>
        <w:spacing w:after="70"/>
      </w:pPr>
      <w:r>
        <w:rPr>
          <w:rFonts w:ascii="Arial" w:cs="Arial" w:eastAsia="Arial" w:hAnsi="Arial"/>
          <w:color w:val="1a202c"/>
          <w:sz w:val="21"/>
          <w:szCs w:val="21"/>
        </w:rPr>
        <w:t xml:space="preserve">Sealed contracts are published to partners as part of integration specifications</w:t>
      </w:r>
    </w:p>
    <w:p>
      <w:pPr>
        <w:pStyle w:val="ListParagraph"/>
        <w:numPr>
          <w:ilvl w:val="0"/>
          <w:numId w:val="3"/>
        </w:numPr>
        <w:spacing w:after="70"/>
      </w:pPr>
      <w:r>
        <w:rPr>
          <w:rFonts w:ascii="Arial" w:cs="Arial" w:eastAsia="Arial" w:hAnsi="Arial"/>
          <w:color w:val="1a202c"/>
          <w:sz w:val="21"/>
          <w:szCs w:val="21"/>
        </w:rPr>
        <w:t xml:space="preserve">Procurement contracts reference sealed contract versions</w:t>
      </w:r>
    </w:p>
    <w:p>
      <w:pPr>
        <w:pStyle w:val="ListParagraph"/>
        <w:numPr>
          <w:ilvl w:val="0"/>
          <w:numId w:val="3"/>
        </w:numPr>
        <w:spacing w:after="70"/>
      </w:pPr>
      <w:r>
        <w:rPr>
          <w:rFonts w:ascii="Arial" w:cs="Arial" w:eastAsia="Arial" w:hAnsi="Arial"/>
          <w:color w:val="1a202c"/>
          <w:sz w:val="21"/>
          <w:szCs w:val="21"/>
        </w:rPr>
        <w:t xml:space="preserve">Regulatory audit processes consume sealed contracts as evidence of architectural intent</w:t>
      </w:r>
    </w:p>
    <w:p>
      <w:pPr>
        <w:pStyle w:val="ListParagraph"/>
        <w:numPr>
          <w:ilvl w:val="0"/>
          <w:numId w:val="3"/>
        </w:numPr>
        <w:spacing w:after="70"/>
      </w:pPr>
      <w:r>
        <w:rPr>
          <w:rFonts w:ascii="Arial" w:cs="Arial" w:eastAsia="Arial" w:hAnsi="Arial"/>
          <w:color w:val="1a202c"/>
          <w:sz w:val="21"/>
          <w:szCs w:val="21"/>
        </w:rPr>
        <w:t xml:space="preserve">AI assistants used by the organisation are oriented to sealed contracts as their primary architectural reference</w:t>
      </w:r>
    </w:p>
    <w:p>
      <w:pPr>
        <w:pStyle w:val="Heading3"/>
        <w:spacing w:after="80" w:before="220"/>
      </w:pPr>
      <w:r>
        <w:rPr>
          <w:rFonts w:ascii="Arial" w:cs="Arial" w:eastAsia="Arial" w:hAnsi="Arial"/>
          <w:b/>
          <w:bCs/>
          <w:color w:val="004271"/>
          <w:sz w:val="23"/>
          <w:szCs w:val="23"/>
        </w:rPr>
        <w:t xml:space="preserve">Success criteria</w:t>
      </w:r>
    </w:p>
    <w:p>
      <w:pPr>
        <w:pStyle w:val="ListParagraph"/>
        <w:numPr>
          <w:ilvl w:val="0"/>
          <w:numId w:val="3"/>
        </w:numPr>
        <w:spacing w:after="70"/>
      </w:pPr>
      <w:r>
        <w:rPr>
          <w:rFonts w:ascii="Arial" w:cs="Arial" w:eastAsia="Arial" w:hAnsi="Arial"/>
          <w:color w:val="1a202c"/>
          <w:sz w:val="21"/>
          <w:szCs w:val="21"/>
        </w:rPr>
        <w:t xml:space="preserve">Partners build against sealed contracts, not against ad-hoc API documentation</w:t>
      </w:r>
    </w:p>
    <w:p>
      <w:pPr>
        <w:pStyle w:val="ListParagraph"/>
        <w:numPr>
          <w:ilvl w:val="0"/>
          <w:numId w:val="3"/>
        </w:numPr>
        <w:spacing w:after="70"/>
      </w:pPr>
      <w:r>
        <w:rPr>
          <w:rFonts w:ascii="Arial" w:cs="Arial" w:eastAsia="Arial" w:hAnsi="Arial"/>
          <w:color w:val="1a202c"/>
          <w:sz w:val="21"/>
          <w:szCs w:val="21"/>
        </w:rPr>
        <w:t xml:space="preserve">Regulatory audits complete faster because evidence is already structured for consumption</w:t>
      </w:r>
    </w:p>
    <w:p>
      <w:pPr>
        <w:pStyle w:val="ListParagraph"/>
        <w:numPr>
          <w:ilvl w:val="0"/>
          <w:numId w:val="3"/>
        </w:numPr>
        <w:spacing w:after="70"/>
      </w:pPr>
      <w:r>
        <w:rPr>
          <w:rFonts w:ascii="Arial" w:cs="Arial" w:eastAsia="Arial" w:hAnsi="Arial"/>
          <w:color w:val="1a202c"/>
          <w:sz w:val="21"/>
          <w:szCs w:val="21"/>
        </w:rPr>
        <w:t xml:space="preserve">When AI models are upgraded, the primary adaptation happens at the Master Build Guide level, not the contract level</w:t>
      </w:r>
    </w:p>
    <w:p>
      <w:pPr>
        <w:pStyle w:val="ListParagraph"/>
        <w:numPr>
          <w:ilvl w:val="0"/>
          <w:numId w:val="3"/>
        </w:numPr>
        <w:spacing w:after="70"/>
      </w:pPr>
      <w:r>
        <w:rPr>
          <w:rFonts w:ascii="Arial" w:cs="Arial" w:eastAsia="Arial" w:hAnsi="Arial"/>
          <w:color w:val="1a202c"/>
          <w:sz w:val="21"/>
          <w:szCs w:val="21"/>
        </w:rPr>
        <w:t xml:space="preserve">Contract retirement and major version bumps are ceremonies the organisation handles routinely, not crises</w:t>
      </w:r>
    </w:p>
    <w:p>
      <w:pPr>
        <w:pStyle w:val="Heading2"/>
        <w:spacing w:after="100" w:before="320"/>
      </w:pPr>
      <w:r>
        <w:rPr>
          <w:rFonts w:ascii="Arial" w:cs="Arial" w:eastAsia="Arial" w:hAnsi="Arial"/>
          <w:b/>
          <w:bCs/>
          <w:color w:val="1a202c"/>
          <w:sz w:val="28"/>
          <w:szCs w:val="28"/>
        </w:rPr>
        <w:t xml:space="preserve">12.6 Mapping SEA to Existing Practice</w:t>
      </w:r>
    </w:p>
    <w:p>
      <w:pPr>
        <w:spacing w:after="140"/>
        <w:jc w:val="both"/>
      </w:pPr>
      <w:r>
        <w:rPr>
          <w:rFonts w:ascii="Arial" w:cs="Arial" w:eastAsia="Arial" w:hAnsi="Arial"/>
          <w:color w:val="1a202c"/>
          <w:sz w:val="21"/>
          <w:szCs w:val="21"/>
        </w:rPr>
        <w:t xml:space="preserve">SEA is compatible with, and extends, several established practices. Organisations already investing in these frameworks do not need to discard them to adopt SEA — they add SEA as a layer underneath.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Existing practice</w:t>
            </w:r>
          </w:p>
        </w:tc>
        <w:tc>
          <w:tcPr>
            <w:tcW w:type="dxa" w:w="6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How SEA integrates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TOGAF</w:t>
            </w:r>
          </w:p>
        </w:tc>
        <w:tc>
          <w:tcPr>
            <w:tcW w:type="dxa" w:w="6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contracts become first-class elements of the Architecture Continuum. The Architecture Development Method (ADM) phases map cleanly to SEA's extension and MVR protocols. TOGAF's Architecture Repository becomes the home for SEA contracts and intent documents.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Domain-Driven Design (DDD)</w:t>
            </w:r>
          </w:p>
        </w:tc>
        <w:tc>
          <w:tcPr>
            <w:tcW w:type="dxa" w:w="6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Aggregate roots and bounded context boundaries are natural candidates for sealing. DDD's ubiquitous language is articulated in the intent document. SEA provides the governance DDD has always lacked.</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Clean Architecture / Hexagonal</w:t>
            </w:r>
          </w:p>
        </w:tc>
        <w:tc>
          <w:tcPr>
            <w:tcW w:type="dxa" w:w="6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'ports' in hexagonal architecture are SEA sealed contracts. The 'adapters' are transient implementations. SEA gives Clean Architecture its missing enforcement mechanism.</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Microservices</w:t>
            </w:r>
          </w:p>
        </w:tc>
        <w:tc>
          <w:tcPr>
            <w:tcW w:type="dxa" w:w="6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Each service's public API becomes a sealed contract. Service internals remain transient. SEA solves the 'microservices chaos' problem by making contracts explicit and governed.</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Event-Driven Architecture</w:t>
            </w:r>
          </w:p>
        </w:tc>
        <w:tc>
          <w:tcPr>
            <w:tcW w:type="dxa" w:w="6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Event schemas are sealed contracts. Producers and consumers implement the contracts; the events themselves are the durable layer.</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Spec-Driven Development (Spec Kit)</w:t>
            </w:r>
          </w:p>
        </w:tc>
        <w:tc>
          <w:tcPr>
            <w:tcW w:type="dxa" w:w="6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SDD produces specifications; SEA seals the subset of those specifications that define the system's identity. Complementary, not competing.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SAFe Agile</w:t>
            </w:r>
          </w:p>
        </w:tc>
        <w:tc>
          <w:tcPr>
            <w:tcW w:type="dxa" w:w="6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SEA's extension protocol fits inside sprint cadence. Quarterly reviews align with SAFe's Inspect &amp; Adapt events. Sealed Review Boards can operate at ART level.</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DevOps / CI-CD</w:t>
            </w:r>
          </w:p>
        </w:tc>
        <w:tc>
          <w:tcPr>
            <w:tcW w:type="dxa" w:w="6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Verifiers run in CI pipelines. Sealed contract hashes become part of release verification. Drift detection integrates with existing observability.</w:t>
            </w:r>
          </w:p>
        </w:tc>
      </w:tr>
    </w:tbl>
    <w:p>
      <w:pPr>
        <w:pStyle w:val="Heading2"/>
        <w:spacing w:after="100" w:before="320"/>
      </w:pPr>
      <w:r>
        <w:rPr>
          <w:rFonts w:ascii="Arial" w:cs="Arial" w:eastAsia="Arial" w:hAnsi="Arial"/>
          <w:b/>
          <w:bCs/>
          <w:color w:val="1a202c"/>
          <w:sz w:val="28"/>
          <w:szCs w:val="28"/>
        </w:rPr>
        <w:t xml:space="preserve">12.7 Mapping SEA to Compliance Regimes</w:t>
      </w:r>
    </w:p>
    <w:p>
      <w:pPr>
        <w:spacing w:after="140"/>
        <w:jc w:val="both"/>
      </w:pPr>
      <w:r>
        <w:rPr>
          <w:rFonts w:ascii="Arial" w:cs="Arial" w:eastAsia="Arial" w:hAnsi="Arial"/>
          <w:color w:val="1a202c"/>
          <w:sz w:val="21"/>
          <w:szCs w:val="21"/>
        </w:rPr>
        <w:t xml:space="preserve">Because SEA produces durable, versioned, portable artefacts that describe architectural intent, it integrates naturally with several compliance regimes. The artefacts often satisfy audit requirements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Regime</w:t>
            </w:r>
          </w:p>
        </w:tc>
        <w:tc>
          <w:tcPr>
            <w:tcW w:type="dxa" w:w="6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How SEA artefacts serve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ISO 9001 (Quality Management)</w:t>
            </w:r>
          </w:p>
        </w:tc>
        <w:tc>
          <w:tcPr>
            <w:tcW w:type="dxa" w:w="6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contracts + change history = documented controlled documents. Quarterly reviews = management review cadence.</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ISO 27001 (Information Security)</w:t>
            </w:r>
          </w:p>
        </w:tc>
        <w:tc>
          <w:tcPr>
            <w:tcW w:type="dxa" w:w="6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Invariants in contracts encode security controls. Governance protocol demonstrates controlled change. Intent documents provide risk assessment context.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SOX (Financial Reporting)</w:t>
            </w:r>
          </w:p>
        </w:tc>
        <w:tc>
          <w:tcPr>
            <w:tcW w:type="dxa" w:w="6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Change control over sealed contracts maps directly to SOX internal control requirements. Change history provides audit trail.</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GxP (Pharmaceutical / Medical)</w:t>
            </w:r>
          </w:p>
        </w:tc>
        <w:tc>
          <w:tcPr>
            <w:tcW w:type="dxa" w:w="6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Intent documents serve as design rationale documentation. Invariants are validated requirements. Major version bumps map to formal re-validation cycles.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HIPAA (Healthcare US)</w:t>
            </w:r>
          </w:p>
        </w:tc>
        <w:tc>
          <w:tcPr>
            <w:tcW w:type="dxa" w:w="6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contracts around protected health information enforce handling rules. Audit trail from change history.</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GDPR / Data Protection</w:t>
            </w:r>
          </w:p>
        </w:tc>
        <w:tc>
          <w:tcPr>
            <w:tcW w:type="dxa" w:w="6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Data-handling invariants in contracts provide documented evidence of privacy-by-design. Retirement protocol includes data handling requirements.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AI Act (EU)</w:t>
            </w:r>
          </w:p>
        </w:tc>
        <w:tc>
          <w:tcPr>
            <w:tcW w:type="dxa" w:w="6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Model-handling invariants in sealed contracts address algorithmic transparency and accountability requirements.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Cybersecurity Frameworks (NIST CSF, etc.)</w:t>
            </w:r>
          </w:p>
        </w:tc>
        <w:tc>
          <w:tcPr>
            <w:tcW w:type="dxa" w:w="6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Security invariants in contracts integrate with existing control frameworks. Governance provides the 'Govern' function.</w:t>
            </w:r>
          </w:p>
        </w:tc>
      </w:tr>
    </w:tbl>
    <w:p>
      <w:pPr>
        <w:pStyle w:val="Heading2"/>
        <w:spacing w:after="100" w:before="320"/>
      </w:pPr>
      <w:r>
        <w:rPr>
          <w:rFonts w:ascii="Arial" w:cs="Arial" w:eastAsia="Arial" w:hAnsi="Arial"/>
          <w:b/>
          <w:bCs/>
          <w:color w:val="1a202c"/>
          <w:sz w:val="28"/>
          <w:szCs w:val="28"/>
        </w:rPr>
        <w:t xml:space="preserve">12.8 Lightweight SEA for Smaller Teams</w:t>
      </w:r>
    </w:p>
    <w:p>
      <w:pPr>
        <w:spacing w:after="140"/>
        <w:jc w:val="both"/>
      </w:pPr>
      <w:r>
        <w:rPr>
          <w:rFonts w:ascii="Arial" w:cs="Arial" w:eastAsia="Arial" w:hAnsi="Arial"/>
          <w:color w:val="1a202c"/>
          <w:sz w:val="21"/>
          <w:szCs w:val="21"/>
        </w:rPr>
        <w:t xml:space="preserve">Not every organisation is an enterprise. SEA's principles apply to smaller teams but the governance overhead described above is inappropriate for a team of five. For small teams:</w:t>
      </w:r>
    </w:p>
    <w:p>
      <w:pPr>
        <w:pStyle w:val="ListParagraph"/>
        <w:numPr>
          <w:ilvl w:val="0"/>
          <w:numId w:val="3"/>
        </w:numPr>
        <w:spacing w:after="70"/>
      </w:pPr>
      <w:r>
        <w:rPr>
          <w:rFonts w:ascii="Arial" w:cs="Arial" w:eastAsia="Arial" w:hAnsi="Arial"/>
          <w:color w:val="1a202c"/>
          <w:sz w:val="21"/>
          <w:szCs w:val="21"/>
        </w:rPr>
        <w:t xml:space="preserve">Sealed contracts are still YAML files, still in version control</w:t>
      </w:r>
    </w:p>
    <w:p>
      <w:pPr>
        <w:pStyle w:val="ListParagraph"/>
        <w:numPr>
          <w:ilvl w:val="0"/>
          <w:numId w:val="3"/>
        </w:numPr>
        <w:spacing w:after="70"/>
      </w:pPr>
      <w:r>
        <w:rPr>
          <w:rFonts w:ascii="Arial" w:cs="Arial" w:eastAsia="Arial" w:hAnsi="Arial"/>
          <w:color w:val="1a202c"/>
          <w:sz w:val="21"/>
          <w:szCs w:val="21"/>
        </w:rPr>
        <w:t xml:space="preserve">Intent documents are still written, but may be shorter</w:t>
      </w:r>
    </w:p>
    <w:p>
      <w:pPr>
        <w:pStyle w:val="ListParagraph"/>
        <w:numPr>
          <w:ilvl w:val="0"/>
          <w:numId w:val="3"/>
        </w:numPr>
        <w:spacing w:after="70"/>
      </w:pPr>
      <w:r>
        <w:rPr>
          <w:rFonts w:ascii="Arial" w:cs="Arial" w:eastAsia="Arial" w:hAnsi="Arial"/>
          <w:color w:val="1a202c"/>
          <w:sz w:val="21"/>
          <w:szCs w:val="21"/>
        </w:rPr>
        <w:t xml:space="preserve">Verifiers are optional — for small teams, discipline and peer review may substitute</w:t>
      </w:r>
    </w:p>
    <w:p>
      <w:pPr>
        <w:pStyle w:val="ListParagraph"/>
        <w:numPr>
          <w:ilvl w:val="0"/>
          <w:numId w:val="3"/>
        </w:numPr>
        <w:spacing w:after="70"/>
      </w:pPr>
      <w:r>
        <w:rPr>
          <w:rFonts w:ascii="Arial" w:cs="Arial" w:eastAsia="Arial" w:hAnsi="Arial"/>
          <w:color w:val="1a202c"/>
          <w:sz w:val="21"/>
          <w:szCs w:val="21"/>
        </w:rPr>
        <w:t xml:space="preserve">The Sealed Review Board is the team itself, meeting monthly rather than quarterly</w:t>
      </w:r>
    </w:p>
    <w:p>
      <w:pPr>
        <w:pStyle w:val="ListParagraph"/>
        <w:numPr>
          <w:ilvl w:val="0"/>
          <w:numId w:val="3"/>
        </w:numPr>
        <w:spacing w:after="70"/>
      </w:pPr>
      <w:r>
        <w:rPr>
          <w:rFonts w:ascii="Arial" w:cs="Arial" w:eastAsia="Arial" w:hAnsi="Arial"/>
          <w:color w:val="1a202c"/>
          <w:sz w:val="21"/>
          <w:szCs w:val="21"/>
        </w:rPr>
        <w:t xml:space="preserve">Contract Owner and Reviewer may be the same two senior engineers rotating responsibilities</w:t>
      </w:r>
    </w:p>
    <w:p>
      <w:pPr>
        <w:pStyle w:val="ListParagraph"/>
        <w:numPr>
          <w:ilvl w:val="0"/>
          <w:numId w:val="3"/>
        </w:numPr>
        <w:spacing w:after="70"/>
      </w:pPr>
      <w:r>
        <w:rPr>
          <w:rFonts w:ascii="Arial" w:cs="Arial" w:eastAsia="Arial" w:hAnsi="Arial"/>
          <w:color w:val="1a202c"/>
          <w:sz w:val="21"/>
          <w:szCs w:val="21"/>
        </w:rPr>
        <w:t xml:space="preserve">Major Version Bumps are still rare events, still ceremonial, but without executive sponsorship (there is no executive)</w:t>
      </w:r>
    </w:p>
    <w:p>
      <w:pPr>
        <w:spacing w:after="140"/>
        <w:jc w:val="both"/>
      </w:pPr>
      <w:r>
        <w:rPr>
          <w:rFonts w:ascii="Arial" w:cs="Arial" w:eastAsia="Arial" w:hAnsi="Arial"/>
          <w:color w:val="1a202c"/>
          <w:sz w:val="21"/>
          <w:szCs w:val="21"/>
        </w:rPr>
        <w:t xml:space="preserve">The principles do not change. The implementation weight scales with the organisation.</w:t>
      </w:r>
    </w:p>
    <w:p>
      <w:pPr>
        <w:pStyle w:val="Heading2"/>
        <w:spacing w:after="100" w:before="320"/>
      </w:pPr>
      <w:r>
        <w:rPr>
          <w:rFonts w:ascii="Arial" w:cs="Arial" w:eastAsia="Arial" w:hAnsi="Arial"/>
          <w:b/>
          <w:bCs/>
          <w:color w:val="1a202c"/>
          <w:sz w:val="28"/>
          <w:szCs w:val="28"/>
        </w:rPr>
        <w:t xml:space="preserve">12.9 Why SEA Does Not Become Bureaucracy</w:t>
      </w:r>
    </w:p>
    <w:p>
      <w:pPr>
        <w:spacing w:after="100"/>
        <w:jc w:val="center"/>
      </w:pPr>
      <w:r>
        <w:rPr>
          <w:rFonts w:ascii="Arial" w:cs="Arial" w:eastAsia="Arial" w:hAnsi="Arial"/>
          <w:b/>
          <w:bCs/>
          <w:color w:val="64748b"/>
          <w:sz w:val="22"/>
          <w:szCs w:val="22"/>
        </w:rPr>
        <w:t xml:space="preserve">Every governance framework that did not actively design against this risk has, eventually, become bureaucracy. SAFe is the canonical cautionary tale: a framework with sound underlying ideas that, in many enterprise deployments, has become ceremony, role proliferation, and process overhead. SEA must address this risk explicitly, because long-lived governance is precisely the kind of practice most prone to ossifying into ritual.</w:t>
      </w:r>
    </w:p>
    <w:p>
      <w:pPr>
        <w:spacing w:after="100"/>
        <w:jc w:val="center"/>
      </w:pPr>
      <w:r>
        <w:rPr>
          <w:rFonts w:ascii="Arial" w:cs="Arial" w:eastAsia="Arial" w:hAnsi="Arial"/>
          <w:b/>
          <w:bCs/>
          <w:color w:val="64748b"/>
          <w:sz w:val="22"/>
          <w:szCs w:val="22"/>
        </w:rPr>
        <w:t xml:space="preserve">Six design choices in SEA are aimed at preventing the slide into bureaucracy. They are not guarantees — no design choice is — but they are deliberate countermeasures, and they should be visible to readers evaluating SEA as a framework worth adopting.</w:t>
      </w:r>
    </w:p>
    <w:p>
      <w:pPr>
        <w:spacing w:after="100"/>
        <w:jc w:val="center"/>
      </w:pPr>
      <w:r>
        <w:rPr>
          <w:rFonts w:ascii="Arial" w:cs="Arial" w:eastAsia="Arial" w:hAnsi="Arial"/>
          <w:b/>
          <w:bCs/>
          <w:color w:val="64748b"/>
          <w:sz w:val="22"/>
          <w:szCs w:val="22"/>
        </w:rPr>
        <w:t xml:space="preserve">Six design choices that prevent governance overload:</w:t>
      </w:r>
    </w:p>
    <w:p>
      <w:pPr>
        <w:pStyle w:val="ListParagraph"/>
        <w:numPr>
          <w:ilvl w:val="0"/>
          <w:numId w:val="2"/>
        </w:numPr>
        <w:spacing w:after="70"/>
      </w:pPr>
      <w:r>
        <w:rPr>
          <w:rFonts w:ascii="Arial" w:cs="Arial" w:eastAsia="Arial" w:hAnsi="Arial"/>
          <w:color w:val="1a202c"/>
          <w:sz w:val="21"/>
          <w:szCs w:val="21"/>
        </w:rPr>
        <w:t xml:space="preserve">The Seal Test bounds what gets sealed. Most artefacts in a system are not contracts and should never be sealed. The seal test — "if this element changes, does the system become a different system?" — is deliberately restrictive. A typical enterprise system has tens of thousands of code elements and perhaps a few dozen sealed contracts. Sealing more is a smell, not a virtue.</w:t>
      </w:r>
    </w:p>
    <w:p>
      <w:pPr>
        <w:pStyle w:val="ListParagraph"/>
        <w:numPr>
          <w:ilvl w:val="0"/>
          <w:numId w:val="2"/>
        </w:numPr>
        <w:spacing w:after="70"/>
      </w:pPr>
      <w:r>
        <w:rPr>
          <w:rFonts w:ascii="Arial" w:cs="Arial" w:eastAsia="Arial" w:hAnsi="Arial"/>
          <w:color w:val="1a202c"/>
          <w:sz w:val="21"/>
          <w:szCs w:val="21"/>
        </w:rPr>
        <w:t xml:space="preserve">Extensions replace rewrites. The default response to a change request in SEA is to add a new contract or extend an existing one — not to reopen a sealed contract. This means most change activity does not touch the governance machinery at all. Only structural changes invoke the protocol, which keeps the protocol fast.</w:t>
      </w:r>
    </w:p>
    <w:p>
      <w:pPr>
        <w:pStyle w:val="ListParagraph"/>
        <w:numPr>
          <w:ilvl w:val="0"/>
          <w:numId w:val="2"/>
        </w:numPr>
        <w:spacing w:after="70"/>
      </w:pPr>
      <w:r>
        <w:rPr>
          <w:rFonts w:ascii="Arial" w:cs="Arial" w:eastAsia="Arial" w:hAnsi="Arial"/>
          <w:color w:val="1a202c"/>
          <w:sz w:val="21"/>
          <w:szCs w:val="21"/>
        </w:rPr>
        <w:t xml:space="preserve">Team-autonomous mode is a first-class option. SEA does not require enterprise-level governance machinery to be useful. A single team can adopt SEA in team-autonomous mode (specified in the SDLC v2.0) without any organisational commitment. The team becomes its own Sealed Review Board. This is not a degraded version of SEA — it is a recognised operating mode with its own validity.</w:t>
      </w:r>
    </w:p>
    <w:p>
      <w:pPr>
        <w:pStyle w:val="ListParagraph"/>
        <w:numPr>
          <w:ilvl w:val="0"/>
          <w:numId w:val="2"/>
        </w:numPr>
        <w:spacing w:after="70"/>
      </w:pPr>
      <w:r>
        <w:rPr>
          <w:rFonts w:ascii="Arial" w:cs="Arial" w:eastAsia="Arial" w:hAnsi="Arial"/>
          <w:color w:val="1a202c"/>
          <w:sz w:val="21"/>
          <w:szCs w:val="21"/>
        </w:rPr>
        <w:t xml:space="preserve">Sealed Review Boards are local where they can be. SEA does not require a single enterprise-wide Sealed Review Board. Domain-specific boards, divisional boards, or team-level boards are all legitimate. The right scope is the smallest scope that covers the contracts whose evolution requires coordination — and only that scope.</w:t>
      </w:r>
    </w:p>
    <w:p>
      <w:pPr>
        <w:pStyle w:val="ListParagraph"/>
        <w:numPr>
          <w:ilvl w:val="0"/>
          <w:numId w:val="2"/>
        </w:numPr>
        <w:spacing w:after="70"/>
      </w:pPr>
      <w:r>
        <w:rPr>
          <w:rFonts w:ascii="Arial" w:cs="Arial" w:eastAsia="Arial" w:hAnsi="Arial"/>
          <w:color w:val="1a202c"/>
          <w:sz w:val="21"/>
          <w:szCs w:val="21"/>
        </w:rPr>
        <w:t xml:space="preserve">Verification is automated where possible. The expectation is that verifiers run in CI/CD and that compliance reports are generated by tools, not produced as committee deliverables. When verification becomes a meeting, it becomes ceremony. When it remains a pipeline gate, it remains discipline.</w:t>
      </w:r>
    </w:p>
    <w:p>
      <w:pPr>
        <w:pStyle w:val="ListParagraph"/>
        <w:numPr>
          <w:ilvl w:val="0"/>
          <w:numId w:val="2"/>
        </w:numPr>
        <w:spacing w:after="70"/>
      </w:pPr>
      <w:r>
        <w:rPr>
          <w:rFonts w:ascii="Arial" w:cs="Arial" w:eastAsia="Arial" w:hAnsi="Arial"/>
          <w:color w:val="1a202c"/>
          <w:sz w:val="21"/>
          <w:szCs w:val="21"/>
        </w:rPr>
        <w:t xml:space="preserve">The framework is critically aware of its own failure modes. SEA explicitly names anti-patterns such as "sealing too much," "Sealed Review Board theatre," and "Major Version Bump avoidance" — treating them as failure modes the framework should help organisations avoid, not denying they exist. A framework that cannot name its own failure modes cannot help adopters avoid them.</w:t>
      </w:r>
    </w:p>
    <w:p>
      <w:pPr>
        <w:spacing w:after="100"/>
        <w:jc w:val="center"/>
      </w:pPr>
      <w:r>
        <w:rPr>
          <w:rFonts w:ascii="Arial" w:cs="Arial" w:eastAsia="Arial" w:hAnsi="Arial"/>
          <w:b/>
          <w:bCs/>
          <w:color w:val="64748b"/>
          <w:sz w:val="22"/>
          <w:szCs w:val="22"/>
        </w:rPr>
        <w:t xml:space="preserve">None of these design choices guarantees that an organisation will not turn SEA into bureaucracy. Organisations that want to ritualise governance will ritualise governance with whatever framework they adopt. But these six choices remove the *structural* incentives toward bureaucracy that frameworks of this kind typically carry. Adopters who notice their SEA practice drifting toward ceremony should treat that drift as a signal to return to the framework's minimum viable form — team-autonomous mode, fewer sealed contracts, more extensions, more automation — not as a reason to add further governance.</w:t>
      </w:r>
    </w:p>
    <w:p>
      <w:r>
        <w:br w:type="page"/>
      </w:r>
    </w:p>
    <w:p>
      <w:pPr>
        <w:pStyle w:val="Heading1"/>
        <w:spacing w:after="160" w:before="480"/>
      </w:pPr>
      <w:r>
        <w:rPr>
          <w:rFonts w:ascii="Arial" w:cs="Arial" w:eastAsia="Arial" w:hAnsi="Arial"/>
          <w:b/>
          <w:bCs/>
          <w:color w:val="002b4d"/>
          <w:sz w:val="38"/>
          <w:szCs w:val="38"/>
        </w:rPr>
        <w:t xml:space="preserve">13. Closing — What This Unlocks</w:t>
      </w:r>
    </w:p>
    <w:p>
      <w:pPr>
        <w:spacing w:after="140"/>
        <w:jc w:val="both"/>
      </w:pPr>
      <w:r>
        <w:rPr>
          <w:rFonts w:ascii="Arial" w:cs="Arial" w:eastAsia="Arial" w:hAnsi="Arial"/>
          <w:color w:val="1a202c"/>
          <w:sz w:val="21"/>
          <w:szCs w:val="21"/>
        </w:rPr>
        <w:t xml:space="preserve">This whitepaper has argued that current architectural practice is inadequate for the systems organisations are now building. Thirty-two assumptions that were tolerable in earlier eras have become structural weaknesses. Fourteen named failure modes recur across organisations because those assumptions have gone unaddressed. AI has not created these problems, but it has removed the buffers that made them survivable.</w:t>
      </w:r>
    </w:p>
    <w:p>
      <w:pPr>
        <w:spacing w:after="140"/>
        <w:jc w:val="both"/>
      </w:pPr>
      <w:r>
        <w:rPr>
          <w:rFonts w:ascii="Arial" w:cs="Arial" w:eastAsia="Arial" w:hAnsi="Arial"/>
          <w:color w:val="1a202c"/>
          <w:sz w:val="21"/>
          <w:szCs w:val="21"/>
        </w:rPr>
        <w:t xml:space="preserve">Sealed Enterprise Architecture is a response. It is not a complete answer — no architectural philosophy ever is — but it is a coherent foundation built on a single insight: the durable must be separated from the transient, explicitly, formally, and enforceably. Everything in the framework follows from that.</w:t>
      </w:r>
    </w:p>
    <w:p>
      <w:pPr>
        <w:pStyle w:val="Heading2"/>
        <w:spacing w:after="100" w:before="320"/>
      </w:pPr>
      <w:r>
        <w:rPr>
          <w:rFonts w:ascii="Arial" w:cs="Arial" w:eastAsia="Arial" w:hAnsi="Arial"/>
          <w:b/>
          <w:bCs/>
          <w:color w:val="1a202c"/>
          <w:sz w:val="28"/>
          <w:szCs w:val="28"/>
        </w:rPr>
        <w:t xml:space="preserve">13.1 What an Organisation Adopting SEA Gains</w:t>
      </w:r>
    </w:p>
    <w:p>
      <w:pPr>
        <w:spacing w:after="140"/>
        <w:jc w:val="both"/>
      </w:pPr>
      <w:r>
        <w:rPr>
          <w:rFonts w:ascii="Arial" w:cs="Arial" w:eastAsia="Arial" w:hAnsi="Arial"/>
          <w:color w:val="1a202c"/>
          <w:sz w:val="21"/>
          <w:szCs w:val="21"/>
        </w:rPr>
        <w:t xml:space="preserve">Five concrete capabilities that current practice does not provide:</w:t>
      </w:r>
    </w:p>
    <w:p>
      <w:pPr>
        <w:pStyle w:val="ListParagraph"/>
        <w:numPr>
          <w:ilvl w:val="0"/>
          <w:numId w:val="2"/>
        </w:numPr>
        <w:spacing w:after="70"/>
      </w:pPr>
      <w:r>
        <w:rPr>
          <w:rFonts w:ascii="Arial" w:cs="Arial" w:eastAsia="Arial" w:hAnsi="Arial"/>
          <w:color w:val="1a202c"/>
          <w:sz w:val="21"/>
          <w:szCs w:val="21"/>
        </w:rPr>
        <w:t xml:space="preserve">The ability to change technology without changing architecture. A SEA-governed system can migrate from Java to Kotlin, from MySQL to PostgreSQL, from on-premise to cloud, from one cloud to another, without disturbing its sealed contracts. The durable layer persists through technology transitions that would cause rewrites in current practice.</w:t>
      </w:r>
    </w:p>
    <w:p>
      <w:pPr>
        <w:pStyle w:val="ListParagraph"/>
        <w:numPr>
          <w:ilvl w:val="0"/>
          <w:numId w:val="2"/>
        </w:numPr>
        <w:spacing w:after="70"/>
      </w:pPr>
      <w:r>
        <w:rPr>
          <w:rFonts w:ascii="Arial" w:cs="Arial" w:eastAsia="Arial" w:hAnsi="Arial"/>
          <w:color w:val="1a202c"/>
          <w:sz w:val="21"/>
          <w:szCs w:val="21"/>
        </w:rPr>
        <w:t xml:space="preserve">The ability to change teams without losing institutional memory. Intent documents and sealed contracts survive the departure of their authors. New engineers, encountering the system for the first time, have a coherent story to learn — not an accretion of tribal knowledge that must be absorbed osmotically over years.</w:t>
      </w:r>
    </w:p>
    <w:p>
      <w:pPr>
        <w:pStyle w:val="ListParagraph"/>
        <w:numPr>
          <w:ilvl w:val="0"/>
          <w:numId w:val="2"/>
        </w:numPr>
        <w:spacing w:after="70"/>
      </w:pPr>
      <w:r>
        <w:rPr>
          <w:rFonts w:ascii="Arial" w:cs="Arial" w:eastAsia="Arial" w:hAnsi="Arial"/>
          <w:color w:val="1a202c"/>
          <w:sz w:val="21"/>
          <w:szCs w:val="21"/>
        </w:rPr>
        <w:t xml:space="preserve">The ability to change ownership without rebuilding. When systems transfer between companies through acquisition, divestiture, or contract change, the durable layer is the portable portion. Successor owners inherit not just the code but its architectural rationale, in a form that can be consumed without involving the previous organisation.</w:t>
      </w:r>
    </w:p>
    <w:p>
      <w:pPr>
        <w:pStyle w:val="ListParagraph"/>
        <w:numPr>
          <w:ilvl w:val="0"/>
          <w:numId w:val="2"/>
        </w:numPr>
        <w:spacing w:after="70"/>
      </w:pPr>
      <w:r>
        <w:rPr>
          <w:rFonts w:ascii="Arial" w:cs="Arial" w:eastAsia="Arial" w:hAnsi="Arial"/>
          <w:color w:val="1a202c"/>
          <w:sz w:val="21"/>
          <w:szCs w:val="21"/>
        </w:rPr>
        <w:t xml:space="preserve">The ability to change purpose without ossification. The Major Version Bump protocol provides a formal, high-ceremony, but bounded mechanism for genuine transformation. Systems that must evolve through purpose change (from physical-first to digital, from human-operated to AI-augmented, from domestic to global) have a path other than total rewrite.</w:t>
      </w:r>
    </w:p>
    <w:p>
      <w:pPr>
        <w:pStyle w:val="ListParagraph"/>
        <w:numPr>
          <w:ilvl w:val="0"/>
          <w:numId w:val="2"/>
        </w:numPr>
        <w:spacing w:after="70"/>
      </w:pPr>
      <w:r>
        <w:rPr>
          <w:rFonts w:ascii="Arial" w:cs="Arial" w:eastAsia="Arial" w:hAnsi="Arial"/>
          <w:color w:val="1a202c"/>
          <w:sz w:val="21"/>
          <w:szCs w:val="21"/>
        </w:rPr>
        <w:t xml:space="preserve">The ability to survive AI evolution. Each of the first four capabilities above is AI-enhanced when sealed contracts are written with AI-readability in mind. Future AI models — whichever models those turn out to be — can read the durable layer and work effectively against it. The organisation is not locked to any particular AI vendor, model family, or interaction paradigm.</w:t>
      </w:r>
    </w:p>
    <w:p>
      <w:pPr>
        <w:pStyle w:val="Heading2"/>
        <w:spacing w:after="100" w:before="320"/>
      </w:pPr>
      <w:r>
        <w:rPr>
          <w:rFonts w:ascii="Arial" w:cs="Arial" w:eastAsia="Arial" w:hAnsi="Arial"/>
          <w:b/>
          <w:bCs/>
          <w:color w:val="1a202c"/>
          <w:sz w:val="28"/>
          <w:szCs w:val="28"/>
        </w:rPr>
        <w:t xml:space="preserve">13.2 What Is Honestly Difficult About SEA</w:t>
      </w:r>
    </w:p>
    <w:p>
      <w:pPr>
        <w:spacing w:after="140"/>
        <w:jc w:val="both"/>
      </w:pPr>
      <w:r>
        <w:rPr>
          <w:rFonts w:ascii="Arial" w:cs="Arial" w:eastAsia="Arial" w:hAnsi="Arial"/>
          <w:color w:val="1a202c"/>
          <w:sz w:val="21"/>
          <w:szCs w:val="21"/>
        </w:rPr>
        <w:t xml:space="preserve">The framework is not free, and it is not easy. Three things are genuinely hard about adopting it:</w:t>
      </w:r>
    </w:p>
    <w:p>
      <w:pPr>
        <w:pStyle w:val="Heading3"/>
        <w:spacing w:after="80" w:before="220"/>
      </w:pPr>
      <w:r>
        <w:rPr>
          <w:rFonts w:ascii="Arial" w:cs="Arial" w:eastAsia="Arial" w:hAnsi="Arial"/>
          <w:b/>
          <w:bCs/>
          <w:color w:val="004271"/>
          <w:sz w:val="23"/>
          <w:szCs w:val="23"/>
        </w:rPr>
        <w:t xml:space="preserve">First — the upfront investment.</w:t>
      </w:r>
    </w:p>
    <w:p>
      <w:pPr>
        <w:spacing w:after="140"/>
        <w:jc w:val="both"/>
      </w:pPr>
      <w:r>
        <w:rPr>
          <w:rFonts w:ascii="Arial" w:cs="Arial" w:eastAsia="Arial" w:hAnsi="Arial"/>
          <w:color w:val="1a202c"/>
          <w:sz w:val="21"/>
          <w:szCs w:val="21"/>
        </w:rPr>
        <w:t xml:space="preserve">Sealing contracts takes time. Writing intent documents takes more time. Establishing governance takes organisational capital. In the first 12-18 months of adoption, delivery velocity will be slower, not faster. Organisations that cannot tolerate this short-term cost will not successfully adopt SEA, and should not try.</w:t>
      </w:r>
    </w:p>
    <w:p>
      <w:pPr>
        <w:pStyle w:val="Heading3"/>
        <w:spacing w:after="80" w:before="220"/>
      </w:pPr>
      <w:r>
        <w:rPr>
          <w:rFonts w:ascii="Arial" w:cs="Arial" w:eastAsia="Arial" w:hAnsi="Arial"/>
          <w:b/>
          <w:bCs/>
          <w:color w:val="004271"/>
          <w:sz w:val="23"/>
          <w:szCs w:val="23"/>
        </w:rPr>
        <w:t xml:space="preserve">Second — the cultural shift.</w:t>
      </w:r>
    </w:p>
    <w:p>
      <w:pPr>
        <w:spacing w:after="140"/>
        <w:jc w:val="both"/>
      </w:pPr>
      <w:r>
        <w:rPr>
          <w:rFonts w:ascii="Arial" w:cs="Arial" w:eastAsia="Arial" w:hAnsi="Arial"/>
          <w:color w:val="1a202c"/>
          <w:sz w:val="21"/>
          <w:szCs w:val="21"/>
        </w:rPr>
        <w:t xml:space="preserve">Engineers accustomed to modifying any code at will must accept that some code is formally off-limits for modification. This feels constraining at first. Organisations that have invested in 'move fast and break things' cultures will find SEA adoption harder than organisations with engineering cultures that value long-term maintainability.</w:t>
      </w:r>
    </w:p>
    <w:p>
      <w:pPr>
        <w:pStyle w:val="Heading3"/>
        <w:spacing w:after="80" w:before="220"/>
      </w:pPr>
      <w:r>
        <w:rPr>
          <w:rFonts w:ascii="Arial" w:cs="Arial" w:eastAsia="Arial" w:hAnsi="Arial"/>
          <w:b/>
          <w:bCs/>
          <w:color w:val="004271"/>
          <w:sz w:val="23"/>
          <w:szCs w:val="23"/>
        </w:rPr>
        <w:t xml:space="preserve">Third — the risk of theatre.</w:t>
      </w:r>
    </w:p>
    <w:p>
      <w:pPr>
        <w:spacing w:after="140"/>
        <w:jc w:val="both"/>
      </w:pPr>
      <w:r>
        <w:rPr>
          <w:rFonts w:ascii="Arial" w:cs="Arial" w:eastAsia="Arial" w:hAnsi="Arial"/>
          <w:color w:val="1a202c"/>
          <w:sz w:val="21"/>
          <w:szCs w:val="21"/>
        </w:rPr>
        <w:t xml:space="preserve">The biggest risk is that an organisation adopts the vocabulary without adopting the discipline. Sealed contracts are produced but not actually protected. Governance meetings happen but do not actually govern. Intent documents are written once and never updated. When this happens, the organisation bears the cost of adoption without receiving the benefit. Preventing this requires genuine executive commitment — not to SEA specifically, but to the long-term architectural health of the organisation's systems.</w:t>
      </w:r>
    </w:p>
    <w:p>
      <w:pPr>
        <w:pStyle w:val="Heading2"/>
        <w:spacing w:after="100" w:before="320"/>
      </w:pPr>
      <w:r>
        <w:rPr>
          <w:rFonts w:ascii="Arial" w:cs="Arial" w:eastAsia="Arial" w:hAnsi="Arial"/>
          <w:b/>
          <w:bCs/>
          <w:color w:val="1a202c"/>
          <w:sz w:val="28"/>
          <w:szCs w:val="28"/>
        </w:rPr>
        <w:t xml:space="preserve">13.3 The Deeper Point</w:t>
      </w:r>
    </w:p>
    <w:p>
      <w:pPr>
        <w:spacing w:after="140"/>
        <w:jc w:val="both"/>
      </w:pPr>
      <w:r>
        <w:rPr>
          <w:rFonts w:ascii="Arial" w:cs="Arial" w:eastAsia="Arial" w:hAnsi="Arial"/>
          <w:color w:val="1a202c"/>
          <w:sz w:val="21"/>
          <w:szCs w:val="21"/>
        </w:rPr>
        <w:t xml:space="preserve">Beneath the specifics of contracts, intent documents, verifiers, and governance, SEA is making a claim about what software engineering is.</w:t>
      </w:r>
    </w:p>
    <w:p>
      <w:pPr>
        <w:spacing w:after="140"/>
        <w:jc w:val="both"/>
      </w:pPr>
      <w:r>
        <w:rPr>
          <w:rFonts w:ascii="Arial" w:cs="Arial" w:eastAsia="Arial" w:hAnsi="Arial"/>
          <w:color w:val="1a202c"/>
          <w:sz w:val="21"/>
          <w:szCs w:val="21"/>
        </w:rPr>
        <w:t xml:space="preserve">For most of software's history, we have treated software as fundamentally different from physical engineering. We invent new paradigms every decade. We tolerate complete rewrites as normal. We accept that the engineer who built a system is the only person who can maintain it. We behave as if software is too new, too fast-changing, and too malleable for the kind of formal discipline that civil engineering has developed over centuries.</w:t>
      </w:r>
    </w:p>
    <w:p>
      <w:pPr>
        <w:spacing w:after="140"/>
        <w:jc w:val="both"/>
      </w:pPr>
      <w:r>
        <w:rPr>
          <w:rFonts w:ascii="Arial" w:cs="Arial" w:eastAsia="Arial" w:hAnsi="Arial"/>
          <w:color w:val="1a202c"/>
          <w:sz w:val="21"/>
          <w:szCs w:val="21"/>
        </w:rPr>
        <w:t xml:space="preserve">This was, perhaps, a reasonable stance when software systems were small, short-lived, and internal to individual organisations. It is no longer a reasonable stance when software runs critical infrastructure, holds decades of data, serves millions of users, and is modified daily by AI assistants whose behavioural patterns change every few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Software engineering will either develop the discipline of long-lived structures, or we will continue to rebuild from scratch every decade — and that cost, amortised across the industry, across sectors, across decades, is incalculable.</w:t>
            </w:r>
          </w:p>
        </w:tc>
      </w:tr>
    </w:tbl>
    <w:p>
      <w:pPr>
        <w:spacing w:after="140"/>
        <w:jc w:val="both"/>
      </w:pPr>
      <w:r>
        <w:rPr>
          <w:rFonts w:ascii="Arial" w:cs="Arial" w:eastAsia="Arial" w:hAnsi="Arial"/>
          <w:color w:val="1a202c"/>
          <w:sz w:val="21"/>
          <w:szCs w:val="21"/>
        </w:rPr>
        <w:t xml:space="preserve">Sealed Enterprise Architecture is an attempt to contribute to that discipline. It is not the last word. It is an early articulation of a direction the field has needed for years and is only now being forced to address because AI has made the alternative untenable.</w:t>
      </w:r>
    </w:p>
    <w:p>
      <w:pPr>
        <w:spacing w:after="140"/>
        <w:jc w:val="both"/>
      </w:pPr>
      <w:r>
        <w:rPr>
          <w:rFonts w:ascii="Arial" w:cs="Arial" w:eastAsia="Arial" w:hAnsi="Arial"/>
          <w:color w:val="1a202c"/>
          <w:sz w:val="21"/>
          <w:szCs w:val="21"/>
        </w:rPr>
        <w:t xml:space="preserve">The organisations that take this seriously now will have, in a decade, systems that are demonstrably more resilient than their competitors'. The organisations that do not will have, in a decade, systems they cannot afford to maintain and cannot afford to rewrite. The path ahead is not a question of whether — it is a question of which organisations choose to walk it deliberately, and which are forced onto it by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Build bridges, not bonfires.</w:t>
            </w:r>
          </w:p>
        </w:tc>
      </w:tr>
    </w:tbl>
    <w:p>
      <w:r>
        <w:br w:type="page"/>
      </w:r>
    </w:p>
    <w:p>
      <w:pPr>
        <w:spacing w:after="100" w:before="600"/>
        <w:jc w:val="center"/>
      </w:pPr>
      <w:r>
        <w:rPr>
          <w:rFonts w:ascii="Arial" w:cs="Arial" w:eastAsia="Arial" w:hAnsi="Arial"/>
          <w:b/>
          <w:bCs/>
          <w:color w:val="64748b"/>
          <w:sz w:val="24"/>
          <w:szCs w:val="24"/>
        </w:rPr>
        <w:t xml:space="preserve">ANNEXES</w:t>
      </w:r>
    </w:p>
    <w:p>
      <w:pPr>
        <w:spacing w:after="400"/>
        <w:jc w:val="center"/>
      </w:pPr>
      <w:r>
        <w:rPr>
          <w:rFonts w:ascii="Arial" w:cs="Arial" w:eastAsia="Arial" w:hAnsi="Arial"/>
          <w:b/>
          <w:bCs/>
          <w:color w:val="002b4d"/>
          <w:sz w:val="48"/>
          <w:szCs w:val="48"/>
        </w:rPr>
        <w:t xml:space="preserve">Supporting Material</w:t>
      </w:r>
    </w:p>
    <w:p>
      <w:r>
        <w:br w:type="page"/>
      </w:r>
    </w:p>
    <w:p>
      <w:pPr>
        <w:pStyle w:val="Heading1"/>
        <w:spacing w:after="160" w:before="480"/>
      </w:pPr>
      <w:r>
        <w:rPr>
          <w:rFonts w:ascii="Arial" w:cs="Arial" w:eastAsia="Arial" w:hAnsi="Arial"/>
          <w:b/>
          <w:bCs/>
          <w:color w:val="002b4d"/>
          <w:sz w:val="38"/>
          <w:szCs w:val="38"/>
        </w:rPr>
        <w:t xml:space="preserve">Annex A — MiVA as a Validation Case</w:t>
      </w:r>
    </w:p>
    <w:p>
      <w:pPr>
        <w:spacing w:after="140"/>
        <w:jc w:val="both"/>
      </w:pPr>
      <w:r>
        <w:rPr>
          <w:rFonts w:ascii="Arial" w:cs="Arial" w:eastAsia="Arial" w:hAnsi="Arial"/>
          <w:color w:val="1a202c"/>
          <w:sz w:val="21"/>
          <w:szCs w:val="21"/>
        </w:rPr>
        <w:t xml:space="preserve">Sealed Enterprise Architecture, as articulated in this whitepaper, is a theoretical framework derived from first principles. One working implementation of a subset of its principles exists: the MiVA Education platform, built between October 2025 and April 2026 by a solo engineer across five generations of AI models.</w:t>
      </w:r>
    </w:p>
    <w:p>
      <w:pPr>
        <w:spacing w:after="140"/>
        <w:jc w:val="both"/>
      </w:pPr>
      <w:r>
        <w:rPr>
          <w:rFonts w:ascii="Arial" w:cs="Arial" w:eastAsia="Arial" w:hAnsi="Arial"/>
          <w:color w:val="1a202c"/>
          <w:sz w:val="21"/>
          <w:szCs w:val="21"/>
        </w:rPr>
        <w:t xml:space="preserve">This annex briefly describes that implementation. It is presented as validation, not origin — SEA is not the formalisation of what MiVA did; SEA is the theory that MiVA, in retrospect, was groping toward. Treating MiVA as the origin of SEA would understate the framework. Treating MiVA as a complete instantiation would overstate it. The honest framing is that MiVA applied a subset of SEA principles, validated that the subset worked, and provided the empirical basis for articulating the full framework.</w:t>
      </w:r>
    </w:p>
    <w:p>
      <w:pPr>
        <w:pStyle w:val="Heading2"/>
        <w:spacing w:after="100" w:before="320"/>
      </w:pPr>
      <w:r>
        <w:rPr>
          <w:rFonts w:ascii="Arial" w:cs="Arial" w:eastAsia="Arial" w:hAnsi="Arial"/>
          <w:b/>
          <w:bCs/>
          <w:color w:val="1a202c"/>
          <w:sz w:val="28"/>
          <w:szCs w:val="28"/>
        </w:rPr>
        <w:t xml:space="preserve">A.1 What MiVA Is</w:t>
      </w:r>
    </w:p>
    <w:p>
      <w:pPr>
        <w:spacing w:after="140"/>
        <w:jc w:val="both"/>
      </w:pPr>
      <w:r>
        <w:rPr>
          <w:rFonts w:ascii="Arial" w:cs="Arial" w:eastAsia="Arial" w:hAnsi="Arial"/>
          <w:color w:val="1a202c"/>
          <w:sz w:val="21"/>
          <w:szCs w:val="21"/>
        </w:rPr>
        <w:t xml:space="preserve">MiVA Education is an AI-augmented education platform for Indian Class 10 students. It comprises three surfaces (native Android application, browser-based admin console, static bilingual web platform) sharing a single PostgreSQL backend with extensive row-level security. The platform was built by a solo engineer with AI assistance across multiple model families (Anthropic, OpenAI, Google) and multiple model generations (Opus 4.5–4.7, Sonnet 4.5–4.6, ChatGPT, Gemini).</w:t>
      </w:r>
    </w:p>
    <w:p>
      <w:pPr>
        <w:spacing w:after="140"/>
        <w:jc w:val="both"/>
      </w:pPr>
      <w:r>
        <w:rPr>
          <w:rFonts w:ascii="Arial" w:cs="Arial" w:eastAsia="Arial" w:hAnsi="Arial"/>
          <w:color w:val="1a202c"/>
          <w:sz w:val="21"/>
          <w:szCs w:val="21"/>
        </w:rPr>
        <w:t xml:space="preserve">The platform is documented in detail in the companion Case Study document. This annex focuses only on the architectural principles applied.</w:t>
      </w:r>
    </w:p>
    <w:p>
      <w:pPr>
        <w:pStyle w:val="Heading2"/>
        <w:spacing w:after="100" w:before="320"/>
      </w:pPr>
      <w:r>
        <w:rPr>
          <w:rFonts w:ascii="Arial" w:cs="Arial" w:eastAsia="Arial" w:hAnsi="Arial"/>
          <w:b/>
          <w:bCs/>
          <w:color w:val="1a202c"/>
          <w:sz w:val="28"/>
          <w:szCs w:val="28"/>
        </w:rPr>
        <w:t xml:space="preserve">A.2 SEA Principles Applied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SEA Principle</w:t>
            </w:r>
          </w:p>
        </w:tc>
        <w:tc>
          <w:tcPr>
            <w:tcW w:type="dxa" w:w="59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MiVA implementation</w:t>
            </w:r>
          </w:p>
        </w:tc>
      </w:tr>
      <w:tr>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P1 — Contracts durable, implementations transient</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Applied. A sealed API interface with approximately 20 functions was defined; implementations were replaced multiple times without modifying the interface.</w:t>
            </w:r>
          </w:p>
        </w:tc>
      </w:tr>
      <w:tr>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P2 — Intent captured, not just behaviour</w:t>
            </w:r>
          </w:p>
        </w:tc>
        <w:tc>
          <w:tcPr>
            <w:tcW w:type="dxa" w:w="5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Partially applied. A Single Source of Truth (SSOT) document captured substantial intent, but the structured 'rejected alternatives' and 'invariants with rationale' sections of the full SEA intent document were not initially formalised.</w:t>
            </w:r>
          </w:p>
        </w:tc>
      </w:tr>
      <w:tr>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P3 — Succession designed, not assumed</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Not applied. The platform had a solo owner; succession was not exercised.</w:t>
            </w:r>
          </w:p>
        </w:tc>
      </w:tr>
      <w:tr>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P4 — Change is graduated, not binary</w:t>
            </w:r>
          </w:p>
        </w:tc>
        <w:tc>
          <w:tcPr>
            <w:tcW w:type="dxa" w:w="5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Applied. Extension pattern was rigorously followed; sealed functions were extended via new functions, never modified.</w:t>
            </w:r>
          </w:p>
        </w:tc>
      </w:tr>
      <w:tr>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P5 — Purpose-change has its own protocol</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Not tested. The platform's purpose did not fundamentally shift during its build.</w:t>
            </w:r>
          </w:p>
        </w:tc>
      </w:tr>
      <w:tr>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P6 — Portability is first-class</w:t>
            </w:r>
          </w:p>
        </w:tc>
        <w:tc>
          <w:tcPr>
            <w:tcW w:type="dxa" w:w="5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Partially applied. Contracts were in Kotlin interfaces and SQL, not language-agnostic YAML. Portability was a principle, not a realised property.</w:t>
            </w:r>
          </w:p>
        </w:tc>
      </w:tr>
      <w:tr>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P7 — AI-readability is structural</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Applied in practice, formalised in theory. The SSOT and decision log were structured for AI consumption, and cross-family reviews (Claude reviewing ChatGPT, and vice versa) were routinely performed.</w:t>
            </w:r>
          </w:p>
        </w:tc>
      </w:tr>
    </w:tbl>
    <w:p>
      <w:pPr>
        <w:pStyle w:val="Heading2"/>
        <w:spacing w:after="100" w:before="320"/>
      </w:pPr>
      <w:r>
        <w:rPr>
          <w:rFonts w:ascii="Arial" w:cs="Arial" w:eastAsia="Arial" w:hAnsi="Arial"/>
          <w:b/>
          <w:bCs/>
          <w:color w:val="1a202c"/>
          <w:sz w:val="28"/>
          <w:szCs w:val="28"/>
        </w:rPr>
        <w:t xml:space="preserve">A.3 What MiVA Validated</w:t>
      </w:r>
    </w:p>
    <w:p>
      <w:pPr>
        <w:spacing w:after="140"/>
        <w:jc w:val="both"/>
      </w:pPr>
      <w:r>
        <w:rPr>
          <w:rFonts w:ascii="Arial" w:cs="Arial" w:eastAsia="Arial" w:hAnsi="Arial"/>
          <w:color w:val="1a202c"/>
          <w:sz w:val="21"/>
          <w:szCs w:val="21"/>
        </w:rPr>
        <w:t xml:space="preserve">Four things were demonstrated empirically during the MiVA build:</w:t>
      </w:r>
    </w:p>
    <w:p>
      <w:pPr>
        <w:pStyle w:val="ListParagraph"/>
        <w:numPr>
          <w:ilvl w:val="0"/>
          <w:numId w:val="2"/>
        </w:numPr>
        <w:spacing w:after="70"/>
      </w:pPr>
      <w:r>
        <w:rPr>
          <w:rFonts w:ascii="Arial" w:cs="Arial" w:eastAsia="Arial" w:hAnsi="Arial"/>
          <w:color w:val="1a202c"/>
          <w:sz w:val="21"/>
          <w:szCs w:val="21"/>
        </w:rPr>
        <w:t xml:space="preserve">Sealed contracts do survive AI model transitions. Across five model generations, the sealed API interface did not need modification. When models changed behaviour, the adaptation happened in the transient implementation layer, not the durable one.</w:t>
      </w:r>
    </w:p>
    <w:p>
      <w:pPr>
        <w:pStyle w:val="ListParagraph"/>
        <w:numPr>
          <w:ilvl w:val="0"/>
          <w:numId w:val="2"/>
        </w:numPr>
        <w:spacing w:after="70"/>
      </w:pPr>
      <w:r>
        <w:rPr>
          <w:rFonts w:ascii="Arial" w:cs="Arial" w:eastAsia="Arial" w:hAnsi="Arial"/>
          <w:color w:val="1a202c"/>
          <w:sz w:val="21"/>
          <w:szCs w:val="21"/>
        </w:rPr>
        <w:t xml:space="preserve">Drift is real and traceable. Four specific drift incidents (CD1 through CD4, documented in the Case Study) occurred during the build. Each incident was traceable to a missing SEA principle — principles that this whitepaper now articulates formally. Had SEA been applied in full, each incident would have been prevented.</w:t>
      </w:r>
    </w:p>
    <w:p>
      <w:pPr>
        <w:pStyle w:val="ListParagraph"/>
        <w:numPr>
          <w:ilvl w:val="0"/>
          <w:numId w:val="2"/>
        </w:numPr>
        <w:spacing w:after="70"/>
      </w:pPr>
      <w:r>
        <w:rPr>
          <w:rFonts w:ascii="Arial" w:cs="Arial" w:eastAsia="Arial" w:hAnsi="Arial"/>
          <w:color w:val="1a202c"/>
          <w:sz w:val="21"/>
          <w:szCs w:val="21"/>
        </w:rPr>
        <w:t xml:space="preserve">Intent capture is the single most valuable practice. Even the partial intent capture MiVA applied — via the SSOT document — was repeatedly cited as the difference between catching errors and shipping them. This is the empirical basis for treating Layer 2 (Intent Capture) as a foundational layer, not an optional one.</w:t>
      </w:r>
    </w:p>
    <w:p>
      <w:pPr>
        <w:pStyle w:val="ListParagraph"/>
        <w:numPr>
          <w:ilvl w:val="0"/>
          <w:numId w:val="2"/>
        </w:numPr>
        <w:spacing w:after="70"/>
      </w:pPr>
      <w:r>
        <w:rPr>
          <w:rFonts w:ascii="Arial" w:cs="Arial" w:eastAsia="Arial" w:hAnsi="Arial"/>
          <w:color w:val="1a202c"/>
          <w:sz w:val="21"/>
          <w:szCs w:val="21"/>
        </w:rPr>
        <w:t xml:space="preserve">Cross-family AI review catches what same-family review misses. When ChatGPT reviewed Claude-generated code (and vice versa), it caught failure modes that same-family review systematically missed. This empirical finding shaped the emphasis in SEA on AI-readability and on diverse AI-based verification.</w:t>
      </w:r>
    </w:p>
    <w:p>
      <w:pPr>
        <w:pStyle w:val="Heading2"/>
        <w:spacing w:after="100" w:before="320"/>
      </w:pPr>
      <w:r>
        <w:rPr>
          <w:rFonts w:ascii="Arial" w:cs="Arial" w:eastAsia="Arial" w:hAnsi="Arial"/>
          <w:b/>
          <w:bCs/>
          <w:color w:val="1a202c"/>
          <w:sz w:val="28"/>
          <w:szCs w:val="28"/>
        </w:rPr>
        <w:t xml:space="preserve">A.4 What MiVA Did Not Validate</w:t>
      </w:r>
    </w:p>
    <w:p>
      <w:pPr>
        <w:spacing w:after="140"/>
        <w:jc w:val="both"/>
      </w:pPr>
      <w:r>
        <w:rPr>
          <w:rFonts w:ascii="Arial" w:cs="Arial" w:eastAsia="Arial" w:hAnsi="Arial"/>
          <w:color w:val="1a202c"/>
          <w:sz w:val="21"/>
          <w:szCs w:val="21"/>
        </w:rPr>
        <w:t xml:space="preserve">Three important aspects of SEA were not exercised during the MiVA build:</w:t>
      </w:r>
    </w:p>
    <w:p>
      <w:pPr>
        <w:pStyle w:val="ListParagraph"/>
        <w:numPr>
          <w:ilvl w:val="0"/>
          <w:numId w:val="3"/>
        </w:numPr>
        <w:spacing w:after="70"/>
      </w:pPr>
      <w:r>
        <w:rPr>
          <w:rFonts w:ascii="Arial" w:cs="Arial" w:eastAsia="Arial" w:hAnsi="Arial"/>
          <w:color w:val="1a202c"/>
          <w:sz w:val="21"/>
          <w:szCs w:val="21"/>
        </w:rPr>
        <w:t xml:space="preserve">Succession — the platform had one owner throughout. Formal succession protocols were not tested.</w:t>
      </w:r>
    </w:p>
    <w:p>
      <w:pPr>
        <w:pStyle w:val="ListParagraph"/>
        <w:numPr>
          <w:ilvl w:val="0"/>
          <w:numId w:val="3"/>
        </w:numPr>
        <w:spacing w:after="70"/>
      </w:pPr>
      <w:r>
        <w:rPr>
          <w:rFonts w:ascii="Arial" w:cs="Arial" w:eastAsia="Arial" w:hAnsi="Arial"/>
          <w:color w:val="1a202c"/>
          <w:sz w:val="21"/>
          <w:szCs w:val="21"/>
        </w:rPr>
        <w:t xml:space="preserve">Major Version Bump — the platform did not undergo a purpose change requiring full contract retirement.</w:t>
      </w:r>
    </w:p>
    <w:p>
      <w:pPr>
        <w:pStyle w:val="ListParagraph"/>
        <w:numPr>
          <w:ilvl w:val="0"/>
          <w:numId w:val="3"/>
        </w:numPr>
        <w:spacing w:after="70"/>
      </w:pPr>
      <w:r>
        <w:rPr>
          <w:rFonts w:ascii="Arial" w:cs="Arial" w:eastAsia="Arial" w:hAnsi="Arial"/>
          <w:color w:val="1a202c"/>
          <w:sz w:val="21"/>
          <w:szCs w:val="21"/>
        </w:rPr>
        <w:t xml:space="preserve">Cross-organisational portability — the platform operated within one organisation (one person). Portability of contracts across organisations was not tested.</w:t>
      </w:r>
    </w:p>
    <w:p>
      <w:pPr>
        <w:spacing w:after="140"/>
        <w:jc w:val="both"/>
      </w:pPr>
      <w:r>
        <w:rPr>
          <w:rFonts w:ascii="Arial" w:cs="Arial" w:eastAsia="Arial" w:hAnsi="Arial"/>
          <w:color w:val="1a202c"/>
          <w:sz w:val="21"/>
          <w:szCs w:val="21"/>
        </w:rPr>
        <w:t xml:space="preserve">These remain, for SEA 1.0, theoretical. They are articulated in this whitepaper as principles and protocols but await empirical validation in real multi-organisational, multi-generational deployments. A future SEA 2.0 would ideally be informed by that validation.</w:t>
      </w:r>
    </w:p>
    <w:p>
      <w:pPr>
        <w:pStyle w:val="Heading2"/>
        <w:spacing w:after="100" w:before="320"/>
      </w:pPr>
      <w:r>
        <w:rPr>
          <w:rFonts w:ascii="Arial" w:cs="Arial" w:eastAsia="Arial" w:hAnsi="Arial"/>
          <w:b/>
          <w:bCs/>
          <w:color w:val="1a202c"/>
          <w:sz w:val="28"/>
          <w:szCs w:val="28"/>
        </w:rPr>
        <w:t xml:space="preserve">A.5 The Case for a Foundational Framework</w:t>
      </w:r>
    </w:p>
    <w:p>
      <w:pPr>
        <w:spacing w:after="140"/>
        <w:jc w:val="both"/>
      </w:pPr>
      <w:r>
        <w:rPr>
          <w:rFonts w:ascii="Arial" w:cs="Arial" w:eastAsia="Arial" w:hAnsi="Arial"/>
          <w:color w:val="1a202c"/>
          <w:sz w:val="21"/>
          <w:szCs w:val="21"/>
        </w:rPr>
        <w:t xml:space="preserve">MiVA is one small example — a solo-built education platform. That it worked is not sufficient to prove SEA. But the specific way it worked, and the specific failure modes it encountered, provided enough empirical ground to articulate the framework without purely theorising.</w:t>
      </w:r>
    </w:p>
    <w:p>
      <w:pPr>
        <w:spacing w:after="140"/>
        <w:jc w:val="both"/>
      </w:pPr>
      <w:r>
        <w:rPr>
          <w:rFonts w:ascii="Arial" w:cs="Arial" w:eastAsia="Arial" w:hAnsi="Arial"/>
          <w:color w:val="1a202c"/>
          <w:sz w:val="21"/>
          <w:szCs w:val="21"/>
        </w:rPr>
        <w:t xml:space="preserve">The framework is presented here as foundational because the same principles that worked at MiVA's scale should scale upward. Large enterprises face all four pressures (technology, team, ownership, purpose) more acutely than a solo build did — but the protections that matter are the same. The difference is the weight of ceremony, not the nature of the mechanism.</w:t>
      </w:r>
    </w:p>
    <w:p>
      <w:pPr>
        <w:spacing w:after="140"/>
        <w:jc w:val="both"/>
      </w:pPr>
      <w:r>
        <w:rPr>
          <w:rFonts w:ascii="Arial" w:cs="Arial" w:eastAsia="Arial" w:hAnsi="Arial"/>
          <w:color w:val="1a202c"/>
          <w:sz w:val="21"/>
          <w:szCs w:val="21"/>
        </w:rPr>
        <w:t xml:space="preserve">Full empirical validation of SEA awaits deployments at enterprise scale. This whitepaper is an invitation to organisations that are willing to attempt that validation.</w:t>
      </w:r>
    </w:p>
    <w:p>
      <w:pPr>
        <w:spacing w:after="100"/>
        <w:jc w:val="center"/>
      </w:pPr>
      <w:r>
        <w:rPr>
          <w:rFonts w:ascii="Arial" w:cs="Arial" w:eastAsia="Arial" w:hAnsi="Arial"/>
          <w:b/>
          <w:bCs/>
          <w:color w:val="64748b"/>
          <w:sz w:val="22"/>
          <w:szCs w:val="22"/>
        </w:rPr>
        <w:t xml:space="preserve">It bears repeating: the empirical foundation of SEA 1.1 remains a single solo build over twelve months. The framework is internally coherent and individually principled, and the failure modes it names have been observed in many other systems. But the principles, taken together as a unified whole, have not yet been validated at enterprise scale, with multiple owners, across decades. This is the principal limitation of the present whitepaper, and a candid one. Subsequent versions of SEA — and Volume 2 of the Implementation Handbook — will incorporate enterprise adoption experience as it accumulates. Readers evaluating SEA for a serious commitment should treat it as theoretically grounded but empirically incomplete.</w:t>
      </w:r>
    </w:p>
    <w:p>
      <w:pPr>
        <w:pStyle w:val="Heading2"/>
        <w:spacing w:after="100" w:before="320"/>
      </w:pPr>
      <w:r>
        <w:rPr>
          <w:rFonts w:ascii="Arial" w:cs="Arial" w:eastAsia="Arial" w:hAnsi="Arial"/>
          <w:b/>
          <w:bCs/>
          <w:color w:val="1a202c"/>
          <w:sz w:val="28"/>
          <w:szCs w:val="28"/>
        </w:rPr>
        <w:t xml:space="preserve">A.6 Hypothetical Applications</w:t>
      </w:r>
    </w:p>
    <w:p>
      <w:pPr>
        <w:spacing w:after="100"/>
        <w:jc w:val="center"/>
      </w:pPr>
      <w:r>
        <w:rPr>
          <w:rFonts w:ascii="Arial" w:cs="Arial" w:eastAsia="Arial" w:hAnsi="Arial"/>
          <w:b/>
          <w:bCs/>
          <w:color w:val="64748b"/>
          <w:sz w:val="22"/>
          <w:szCs w:val="22"/>
        </w:rPr>
        <w:t xml:space="preserve">To complement the MiVA validation case, this section sketches three hypothetical applications of SEA principles. These are explicitly thought experiments, not case studies. No organisation has yet conducted any of these as described. The scenarios illustrate how the framework would apply, identify the durable and transient elements involved, and surface the governance moves each scenario would require. They are intended as worked exercises for prospective adopters, not as evidence.</w:t>
      </w:r>
    </w:p>
    <w:p>
      <w:pPr>
        <w:pStyle w:val="Heading3"/>
        <w:spacing w:after="80" w:before="220"/>
      </w:pPr>
      <w:r>
        <w:rPr>
          <w:rFonts w:ascii="Arial" w:cs="Arial" w:eastAsia="Arial" w:hAnsi="Arial"/>
          <w:b/>
          <w:bCs/>
          <w:color w:val="004271"/>
          <w:sz w:val="23"/>
          <w:szCs w:val="23"/>
        </w:rPr>
        <w:t xml:space="preserve">Scenario 1 — Authentication provider replacement</w:t>
      </w:r>
    </w:p>
    <w:p>
      <w:pPr>
        <w:spacing w:after="100"/>
        <w:jc w:val="center"/>
      </w:pPr>
      <w:r>
        <w:rPr>
          <w:rFonts w:ascii="Arial" w:cs="Arial" w:eastAsia="Arial" w:hAnsi="Arial"/>
          <w:b/>
          <w:bCs/>
          <w:color w:val="64748b"/>
          <w:sz w:val="22"/>
          <w:szCs w:val="22"/>
        </w:rPr>
        <w:t xml:space="preserve">A mid-sized enterprise built its application on a third-party identity provider in 2020. Five years later, the provider raises pricing, restricts API surface, or is acquired and degraded. The organisation needs to migrate to a different provider without disrupting users, breaking integrations, or invalidating compliance certifications. Under SEA, the durable layer would be a sealed contract specifying the authentication operations the application requires — sign in, sign out, session validation, identity claims, MFA enrolment — with their invariants but without reference to any specific provider. The transient layer would be the adapter to the current provider. Migration becomes a parallel-live exercise: a second adapter is built against the new provider, both run side-by-side under traffic shadowing, and the cutover happens once the new adapter has demonstrated parity. The sealed contract does not change. The intent document records the migration as an adapter replacement event in the change history. No application code that consumed authentication had to know the provider had changed.</w:t>
      </w:r>
    </w:p>
    <w:p>
      <w:pPr>
        <w:pStyle w:val="Heading3"/>
        <w:spacing w:after="80" w:before="220"/>
      </w:pPr>
      <w:r>
        <w:rPr>
          <w:rFonts w:ascii="Arial" w:cs="Arial" w:eastAsia="Arial" w:hAnsi="Arial"/>
          <w:b/>
          <w:bCs/>
          <w:color w:val="004271"/>
          <w:sz w:val="23"/>
          <w:szCs w:val="23"/>
        </w:rPr>
        <w:t xml:space="preserve">Scenario 2 — LLM provider migration</w:t>
      </w:r>
    </w:p>
    <w:p>
      <w:pPr>
        <w:spacing w:after="100"/>
        <w:jc w:val="center"/>
      </w:pPr>
      <w:r>
        <w:rPr>
          <w:rFonts w:ascii="Arial" w:cs="Arial" w:eastAsia="Arial" w:hAnsi="Arial"/>
          <w:b/>
          <w:bCs/>
          <w:color w:val="64748b"/>
          <w:sz w:val="22"/>
          <w:szCs w:val="22"/>
        </w:rPr>
        <w:t xml:space="preserve">An organisation built an AI-augmented product on Provider A's LLM in 2024. By 2027, costs, latency, regulation, or capability mismatch make Provider B (or a self-hosted open-weights model) preferable. Migration of LLM-using systems is notoriously painful because prompts are typically embedded in code, model-specific behaviours are exploited inadvertently, and there is no formal specification of what the LLM is actually expected to do. Under SEA, the durable layer would be sealed contracts specifying each LLM-using capability — for example, "summarise a meeting transcript into action items" — with declared invariants (output format, semantic constraints, hallucination tolerances, latency bounds, cost ceilings). Prompts and model selection become transient implementation details. Migration is a verification exercise: do the new model and new prompts satisfy the same sealed contract? When the answer is yes for a contract, that contract's implementation is migrated. The application code does not change; only the adapter does. The organisation gains the option to mix providers per contract — using one model for high-stakes reasoning and another for routine summarisation — without architectural disruption.</w:t>
      </w:r>
    </w:p>
    <w:p>
      <w:pPr>
        <w:pStyle w:val="Heading3"/>
        <w:spacing w:after="80" w:before="220"/>
      </w:pPr>
      <w:r>
        <w:rPr>
          <w:rFonts w:ascii="Arial" w:cs="Arial" w:eastAsia="Arial" w:hAnsi="Arial"/>
          <w:b/>
          <w:bCs/>
          <w:color w:val="004271"/>
          <w:sz w:val="23"/>
          <w:szCs w:val="23"/>
        </w:rPr>
        <w:t xml:space="preserve">Scenario 3 — Mergers, acquisitions, and continuity</w:t>
      </w:r>
    </w:p>
    <w:p>
      <w:pPr>
        <w:spacing w:after="100"/>
        <w:jc w:val="center"/>
      </w:pPr>
      <w:r>
        <w:rPr>
          <w:rFonts w:ascii="Arial" w:cs="Arial" w:eastAsia="Arial" w:hAnsi="Arial"/>
          <w:b/>
          <w:bCs/>
          <w:color w:val="64748b"/>
          <w:sz w:val="22"/>
          <w:szCs w:val="22"/>
        </w:rPr>
        <w:t xml:space="preserve">A regulated mid-sized enterprise is acquired. The acquirer needs to integrate the acquired company's critical systems while satisfying regulators that no architectural intent has been lost in the transition. Without SEA, this typically means a "rediscovery" project of six to eighteen months in which engineers attempt to reconstruct the rationale for the acquired system's design from code, deprecated documents, and the memories of departing engineers — often unsuccessfully. Under SEA, the acquired company hands over its sealed contracts, intent documents, change histories, and verification reports. These are portable, version-controlled, machine-readable artefacts. Successor Owners are formally named via the succession protocol. The Sealed Review Board absorbs the acquired contracts into its quarterly review cadence. Compliance evidence is already structured for audit. The post-acquisition integration becomes a months-long programme rather than a multi-year recovery, because the durable layer survived the ownership change intact. This is, in some sense, the canonical SEA value proposition: governance artefacts that travel with the system across organisational boundaries.</w:t>
      </w:r>
    </w:p>
    <w:p>
      <w:pPr>
        <w:spacing w:after="100"/>
        <w:jc w:val="center"/>
      </w:pPr>
      <w:r>
        <w:rPr>
          <w:rFonts w:ascii="Arial" w:cs="Arial" w:eastAsia="Arial" w:hAnsi="Arial"/>
          <w:b/>
          <w:bCs/>
          <w:color w:val="64748b"/>
          <w:sz w:val="22"/>
          <w:szCs w:val="22"/>
        </w:rPr>
        <w:t xml:space="preserve">These three scenarios describe pressures — vendor change, AI-era technology change, and ownership change — that current architectural practice handles poorly. They are the empirical territory SEA aims to address. Real adoptions will reveal which of these sketches were realistic and which were naïve. Updates to this annex in subsequent SEA revisions will report on those findings.</w:t>
      </w:r>
    </w:p>
    <w:p>
      <w:r>
        <w:br w:type="page"/>
      </w:r>
    </w:p>
    <w:p>
      <w:pPr>
        <w:pStyle w:val="Heading1"/>
        <w:spacing w:after="160" w:before="480"/>
      </w:pPr>
      <w:r>
        <w:rPr>
          <w:rFonts w:ascii="Arial" w:cs="Arial" w:eastAsia="Arial" w:hAnsi="Arial"/>
          <w:b/>
          <w:bCs/>
          <w:color w:val="002b4d"/>
          <w:sz w:val="38"/>
          <w:szCs w:val="38"/>
        </w:rPr>
        <w:t xml:space="preserve">Annex B — Glossary</w:t>
      </w:r>
    </w:p>
    <w:p>
      <w:pPr>
        <w:spacing w:after="140"/>
        <w:jc w:val="both"/>
      </w:pPr>
      <w:r>
        <w:rPr>
          <w:rFonts w:ascii="Arial" w:cs="Arial" w:eastAsia="Arial" w:hAnsi="Arial"/>
          <w:color w:val="1a202c"/>
          <w:sz w:val="21"/>
          <w:szCs w:val="21"/>
        </w:rPr>
        <w:t xml:space="preserve">Terms defined as used in this whitepaper. Some terms have broader usage elsewhere in software engineering; the definitions here are specific to SEA.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Term</w:t>
            </w:r>
          </w:p>
        </w:tc>
        <w:tc>
          <w:tcPr>
            <w:tcW w:type="dxa" w:w="65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Definition</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contract</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 formal, language-agnostic declaration of what a component does, expressed in structured format (YAML/JSON). Cannot be modified once committed; can only be extended or replaced through formal protocol.</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Intent document</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Markdown prose companion to a sealed contract, capturing why the contract exists: problem statement, invariants with rationale, rejected alternatives, assumptions, failure modes protected against.</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Durable layer</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subset of a system's artefacts that must persist across technology, team, ownership, and purpose changes. Contracts, intent documents, invariants, and data model identity belong here.</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Transient layer</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subset of a system's artefacts designed to be replaced. Specific implementations, algorithms, UI treatments, optimisations. Where most code lives and where AI-assisted development operates.</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Owner</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current named individual responsible for a sealed contract. Not the original author — the current owner. Role is formally transferred on succession.</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Contract Reviewer</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current named individual responsible for reviewing proposed extensions to a sealed contract. Must be a different person from the Owner.</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Review Board (SRB)</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 standing body, typically 4-8 senior architects, that meets quarterly to review sealed contracts, approve retirement, and authorise Major Version Bumps.</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Verifier</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Per-stack tooling that checks implementation conformance against a sealed contract. Thin, replaceable, language-specific. The contract is the architecture; the verifier is the enforcement.</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Adding new capability alongside existing sealed contracts, without modifying them. The default evolution mechanism.</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Parallel-Live Replacement</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 mechanism for replacing a sealed contract: new contract runs alongside old contract for a transition period; consumers migrate at their own cadence.</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Major Version Bump (MVB)</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High-ceremony formal protocol for retiring a sealed contract set when system purpose has fundamentally shifted. Rare; typically 5-10 years apart.</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Retirement Ceremony</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formal conclusion of a sealed contract's life. The contract is archived with full history preserved; its specifications remain readable but its status is 'retired.'</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 Test</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distinguishing question: 'If this element changes, does the system become a different system?' Yes → durable. No → transient.</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Drift Incident</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 documented case of divergence between a sealed contract and its current implementation, or between two artefacts that should agree. Tracked formally with a CD-series identifier.</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Failure Mode</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 named pattern of architectural collapse (Section 4). Fourteen identified in SEA 1.0.</w:t>
            </w:r>
          </w:p>
        </w:tc>
      </w:tr>
    </w:tbl>
    <w:p>
      <w:r>
        <w:br w:type="page"/>
      </w:r>
    </w:p>
    <w:p>
      <w:pPr>
        <w:pStyle w:val="Heading1"/>
        <w:spacing w:after="160" w:before="480"/>
      </w:pPr>
      <w:r>
        <w:rPr>
          <w:rFonts w:ascii="Arial" w:cs="Arial" w:eastAsia="Arial" w:hAnsi="Arial"/>
          <w:b/>
          <w:bCs/>
          <w:color w:val="002b4d"/>
          <w:sz w:val="38"/>
          <w:szCs w:val="38"/>
        </w:rPr>
        <w:t xml:space="preserve">Annex C — Further Reading</w:t>
      </w:r>
    </w:p>
    <w:p>
      <w:pPr>
        <w:spacing w:after="140"/>
        <w:jc w:val="both"/>
      </w:pPr>
      <w:r>
        <w:rPr>
          <w:rFonts w:ascii="Arial" w:cs="Arial" w:eastAsia="Arial" w:hAnsi="Arial"/>
          <w:color w:val="1a202c"/>
          <w:sz w:val="21"/>
          <w:szCs w:val="21"/>
        </w:rPr>
        <w:t xml:space="preserve">SEA did not emerge in a vacuum. It draws on, and can be read alongside, several traditions. This annex points to the adjacent bodies of work that informed the framework, for readers who want to trace the intellectual lineage or integrate SEA with their existing reading.</w:t>
      </w:r>
    </w:p>
    <w:p>
      <w:pPr>
        <w:pStyle w:val="Heading2"/>
        <w:spacing w:after="100" w:before="320"/>
      </w:pPr>
      <w:r>
        <w:rPr>
          <w:rFonts w:ascii="Arial" w:cs="Arial" w:eastAsia="Arial" w:hAnsi="Arial"/>
          <w:b/>
          <w:bCs/>
          <w:color w:val="1a202c"/>
          <w:sz w:val="28"/>
          <w:szCs w:val="28"/>
        </w:rPr>
        <w:t xml:space="preserve">Related Architectural Frameworks</w:t>
      </w:r>
    </w:p>
    <w:p>
      <w:pPr>
        <w:pStyle w:val="ListParagraph"/>
        <w:numPr>
          <w:ilvl w:val="0"/>
          <w:numId w:val="3"/>
        </w:numPr>
        <w:spacing w:after="70"/>
      </w:pPr>
      <w:r>
        <w:rPr>
          <w:rFonts w:ascii="Arial" w:cs="Arial" w:eastAsia="Arial" w:hAnsi="Arial"/>
          <w:color w:val="1a202c"/>
          <w:sz w:val="21"/>
          <w:szCs w:val="21"/>
        </w:rPr>
        <w:t xml:space="preserve">TOGAF (The Open Group Architecture Framework) — the dominant enterprise architecture methodology. SEA can be adopted as a layer within TOGAF's Architecture Continuum.</w:t>
      </w:r>
    </w:p>
    <w:p>
      <w:pPr>
        <w:pStyle w:val="ListParagraph"/>
        <w:numPr>
          <w:ilvl w:val="0"/>
          <w:numId w:val="3"/>
        </w:numPr>
        <w:spacing w:after="70"/>
      </w:pPr>
      <w:r>
        <w:rPr>
          <w:rFonts w:ascii="Arial" w:cs="Arial" w:eastAsia="Arial" w:hAnsi="Arial"/>
          <w:color w:val="1a202c"/>
          <w:sz w:val="21"/>
          <w:szCs w:val="21"/>
        </w:rPr>
        <w:t xml:space="preserve">Domain-Driven Design (Eric Evans, Vaughn Vernon) — the articulation of bounded contexts and ubiquitous language. SEA's sealed contracts often align with DDD aggregate boundaries.</w:t>
      </w:r>
    </w:p>
    <w:p>
      <w:pPr>
        <w:pStyle w:val="ListParagraph"/>
        <w:numPr>
          <w:ilvl w:val="0"/>
          <w:numId w:val="3"/>
        </w:numPr>
        <w:spacing w:after="70"/>
      </w:pPr>
      <w:r>
        <w:rPr>
          <w:rFonts w:ascii="Arial" w:cs="Arial" w:eastAsia="Arial" w:hAnsi="Arial"/>
          <w:color w:val="1a202c"/>
          <w:sz w:val="21"/>
          <w:szCs w:val="21"/>
        </w:rPr>
        <w:t xml:space="preserve">Clean Architecture (Robert C. Martin) and Hexagonal Architecture (Alistair Cockburn) — the separation of ports from adapters. SEA's durable-vs-transient distinction is a generalisation.</w:t>
      </w:r>
    </w:p>
    <w:p>
      <w:pPr>
        <w:pStyle w:val="ListParagraph"/>
        <w:numPr>
          <w:ilvl w:val="0"/>
          <w:numId w:val="3"/>
        </w:numPr>
        <w:spacing w:after="70"/>
      </w:pPr>
      <w:r>
        <w:rPr>
          <w:rFonts w:ascii="Arial" w:cs="Arial" w:eastAsia="Arial" w:hAnsi="Arial"/>
          <w:color w:val="1a202c"/>
          <w:sz w:val="21"/>
          <w:szCs w:val="21"/>
        </w:rPr>
        <w:t xml:space="preserve">Patterns of Enterprise Application Architecture (Martin Fowler) — the foundational catalogue. Many Fowler patterns are implementations of what SEA would call transient layer concerns.</w:t>
      </w:r>
    </w:p>
    <w:p>
      <w:pPr>
        <w:pStyle w:val="ListParagraph"/>
        <w:numPr>
          <w:ilvl w:val="0"/>
          <w:numId w:val="3"/>
        </w:numPr>
        <w:spacing w:after="70"/>
      </w:pPr>
      <w:r>
        <w:rPr>
          <w:rFonts w:ascii="Arial" w:cs="Arial" w:eastAsia="Arial" w:hAnsi="Arial"/>
          <w:color w:val="1a202c"/>
          <w:sz w:val="21"/>
          <w:szCs w:val="21"/>
        </w:rPr>
        <w:t xml:space="preserve">Spec-Driven Development (GitHub Spec Kit and successors) — the practice of treating specifications as primary artefacts. Complementary to SEA; SDD generates specs, SEA seals the critical subset.</w:t>
      </w:r>
    </w:p>
    <w:p>
      <w:pPr>
        <w:pStyle w:val="Heading2"/>
        <w:spacing w:after="100" w:before="320"/>
      </w:pPr>
      <w:r>
        <w:rPr>
          <w:rFonts w:ascii="Arial" w:cs="Arial" w:eastAsia="Arial" w:hAnsi="Arial"/>
          <w:b/>
          <w:bCs/>
          <w:color w:val="1a202c"/>
          <w:sz w:val="28"/>
          <w:szCs w:val="28"/>
        </w:rPr>
        <w:t xml:space="preserve">Related Governance Frameworks</w:t>
      </w:r>
    </w:p>
    <w:p>
      <w:pPr>
        <w:pStyle w:val="ListParagraph"/>
        <w:numPr>
          <w:ilvl w:val="0"/>
          <w:numId w:val="3"/>
        </w:numPr>
        <w:spacing w:after="70"/>
      </w:pPr>
      <w:r>
        <w:rPr>
          <w:rFonts w:ascii="Arial" w:cs="Arial" w:eastAsia="Arial" w:hAnsi="Arial"/>
          <w:color w:val="1a202c"/>
          <w:sz w:val="21"/>
          <w:szCs w:val="21"/>
        </w:rPr>
        <w:t xml:space="preserve">ISO 9001 / ISO 27001 — quality and security management systems. SEA artefacts satisfy significant portions of these standards' documentation requirements.</w:t>
      </w:r>
    </w:p>
    <w:p>
      <w:pPr>
        <w:pStyle w:val="ListParagraph"/>
        <w:numPr>
          <w:ilvl w:val="0"/>
          <w:numId w:val="3"/>
        </w:numPr>
        <w:spacing w:after="70"/>
      </w:pPr>
      <w:r>
        <w:rPr>
          <w:rFonts w:ascii="Arial" w:cs="Arial" w:eastAsia="Arial" w:hAnsi="Arial"/>
          <w:color w:val="1a202c"/>
          <w:sz w:val="21"/>
          <w:szCs w:val="21"/>
        </w:rPr>
        <w:t xml:space="preserve">The NIST AI Risk Management Framework — governance for AI-augmented systems. SEA's AI-readability principle (P7) addresses one face of this problem.</w:t>
      </w:r>
    </w:p>
    <w:p>
      <w:pPr>
        <w:pStyle w:val="ListParagraph"/>
        <w:numPr>
          <w:ilvl w:val="0"/>
          <w:numId w:val="3"/>
        </w:numPr>
        <w:spacing w:after="70"/>
      </w:pPr>
      <w:r>
        <w:rPr>
          <w:rFonts w:ascii="Arial" w:cs="Arial" w:eastAsia="Arial" w:hAnsi="Arial"/>
          <w:color w:val="1a202c"/>
          <w:sz w:val="21"/>
          <w:szCs w:val="21"/>
        </w:rPr>
        <w:t xml:space="preserve">Architecture Decision Records (ADRs) — the practice of capturing architectural decisions formally. SEA's intent documents are a structured extension of ADR practice.</w:t>
      </w:r>
    </w:p>
    <w:p>
      <w:pPr>
        <w:pStyle w:val="Heading2"/>
        <w:spacing w:after="100" w:before="320"/>
      </w:pPr>
      <w:r>
        <w:rPr>
          <w:rFonts w:ascii="Arial" w:cs="Arial" w:eastAsia="Arial" w:hAnsi="Arial"/>
          <w:b/>
          <w:bCs/>
          <w:color w:val="1a202c"/>
          <w:sz w:val="28"/>
          <w:szCs w:val="28"/>
        </w:rPr>
        <w:t xml:space="preserve">Related Reliability Frameworks</w:t>
      </w:r>
    </w:p>
    <w:p>
      <w:pPr>
        <w:pStyle w:val="ListParagraph"/>
        <w:numPr>
          <w:ilvl w:val="0"/>
          <w:numId w:val="3"/>
        </w:numPr>
        <w:spacing w:after="70"/>
      </w:pPr>
      <w:r>
        <w:rPr>
          <w:rFonts w:ascii="Arial" w:cs="Arial" w:eastAsia="Arial" w:hAnsi="Arial"/>
          <w:color w:val="1a202c"/>
          <w:sz w:val="21"/>
          <w:szCs w:val="21"/>
        </w:rPr>
        <w:t xml:space="preserve">Site Reliability Engineering (Google SRE) — the discipline of operating large systems. SEA's governance protocols complement SRE's operational practices.</w:t>
      </w:r>
    </w:p>
    <w:p>
      <w:pPr>
        <w:pStyle w:val="ListParagraph"/>
        <w:numPr>
          <w:ilvl w:val="0"/>
          <w:numId w:val="3"/>
        </w:numPr>
        <w:spacing w:after="70"/>
      </w:pPr>
      <w:r>
        <w:rPr>
          <w:rFonts w:ascii="Arial" w:cs="Arial" w:eastAsia="Arial" w:hAnsi="Arial"/>
          <w:color w:val="1a202c"/>
          <w:sz w:val="21"/>
          <w:szCs w:val="21"/>
        </w:rPr>
        <w:t xml:space="preserve">Chaos Engineering (Netflix and subsequent work) — deliberately testing for failure modes. SEA's failure mode catalogue offers a named target for chaos experiments.</w:t>
      </w:r>
    </w:p>
    <w:p>
      <w:pPr>
        <w:pStyle w:val="Heading2"/>
        <w:spacing w:after="100" w:before="320"/>
      </w:pPr>
      <w:r>
        <w:rPr>
          <w:rFonts w:ascii="Arial" w:cs="Arial" w:eastAsia="Arial" w:hAnsi="Arial"/>
          <w:b/>
          <w:bCs/>
          <w:color w:val="1a202c"/>
          <w:sz w:val="28"/>
          <w:szCs w:val="28"/>
        </w:rPr>
        <w:t xml:space="preserve">The Bridge Analogy's Real Source</w:t>
      </w:r>
    </w:p>
    <w:p>
      <w:pPr>
        <w:pStyle w:val="ListParagraph"/>
        <w:numPr>
          <w:ilvl w:val="0"/>
          <w:numId w:val="3"/>
        </w:numPr>
        <w:spacing w:after="70"/>
      </w:pPr>
      <w:r>
        <w:rPr>
          <w:rFonts w:ascii="Arial" w:cs="Arial" w:eastAsia="Arial" w:hAnsi="Arial"/>
          <w:color w:val="1a202c"/>
          <w:sz w:val="21"/>
          <w:szCs w:val="21"/>
        </w:rPr>
        <w:t xml:space="preserve">A Pattern Language (Christopher Alexander) — the original articulation of pattern languages for buildings, which directly inspired the software pattern movement and, indirectly, the framing of this whitepaper.</w:t>
      </w:r>
    </w:p>
    <w:p>
      <w:pPr>
        <w:pStyle w:val="ListParagraph"/>
        <w:numPr>
          <w:ilvl w:val="0"/>
          <w:numId w:val="3"/>
        </w:numPr>
        <w:spacing w:after="70"/>
      </w:pPr>
      <w:r>
        <w:rPr>
          <w:rFonts w:ascii="Arial" w:cs="Arial" w:eastAsia="Arial" w:hAnsi="Arial"/>
          <w:color w:val="1a202c"/>
          <w:sz w:val="21"/>
          <w:szCs w:val="21"/>
        </w:rPr>
        <w:t xml:space="preserve">The Design of Long-Lived Software (emerging literature, 2023-2026) — multiple papers and industry reports on the specific challenge of software systems surviving multiple decades. SEA contributes to this conversation.</w:t>
      </w:r>
    </w:p>
    <w:p>
      <w:pPr>
        <w:pStyle w:val="Heading2"/>
        <w:spacing w:after="100" w:before="320"/>
      </w:pPr>
      <w:r>
        <w:rPr>
          <w:rFonts w:ascii="Arial" w:cs="Arial" w:eastAsia="Arial" w:hAnsi="Arial"/>
          <w:b/>
          <w:bCs/>
          <w:color w:val="1a202c"/>
          <w:sz w:val="28"/>
          <w:szCs w:val="28"/>
        </w:rPr>
        <w:t xml:space="preserve">This Whitepaper's Companion Documents</w:t>
      </w:r>
    </w:p>
    <w:p>
      <w:pPr>
        <w:spacing w:after="140"/>
        <w:jc w:val="both"/>
      </w:pPr>
      <w:r>
        <w:rPr>
          <w:rFonts w:ascii="Arial" w:cs="Arial" w:eastAsia="Arial" w:hAnsi="Arial"/>
          <w:color w:val="1a202c"/>
          <w:sz w:val="21"/>
          <w:szCs w:val="21"/>
        </w:rPr>
        <w:t xml:space="preserve">SEA 1.1 is one of seven documents in the AI-Native SDLC + SEA methodology set:</w:t>
      </w:r>
    </w:p>
    <w:p>
      <w:pPr>
        <w:pStyle w:val="ListParagraph"/>
        <w:numPr>
          <w:ilvl w:val="0"/>
          <w:numId w:val="2"/>
        </w:numPr>
        <w:spacing w:after="70"/>
      </w:pPr>
      <w:r>
        <w:rPr>
          <w:rFonts w:ascii="Arial" w:cs="Arial" w:eastAsia="Arial" w:hAnsi="Arial"/>
          <w:color w:val="1a202c"/>
          <w:sz w:val="21"/>
          <w:szCs w:val="21"/>
        </w:rPr>
        <w:t xml:space="preserve">Sealed Enterprise Architecture (SEA) 1.1 — this whitepaper. The foundational architectural philosophy and governance framework.</w:t>
      </w:r>
    </w:p>
    <w:p>
      <w:pPr>
        <w:pStyle w:val="ListParagraph"/>
        <w:numPr>
          <w:ilvl w:val="0"/>
          <w:numId w:val="2"/>
        </w:numPr>
        <w:spacing w:after="70"/>
      </w:pPr>
      <w:r>
        <w:rPr>
          <w:rFonts w:ascii="Arial" w:cs="Arial" w:eastAsia="Arial" w:hAnsi="Arial"/>
          <w:color w:val="1a202c"/>
          <w:sz w:val="21"/>
          <w:szCs w:val="21"/>
        </w:rPr>
        <w:t xml:space="preserve">SEA Implementation Handbook, Volume 1 — the operational companion to this whitepaper. Measurement, enforcement, verification, and evolution specified in depth.</w:t>
      </w:r>
    </w:p>
    <w:p>
      <w:pPr>
        <w:pStyle w:val="ListParagraph"/>
        <w:numPr>
          <w:ilvl w:val="0"/>
          <w:numId w:val="2"/>
        </w:numPr>
        <w:spacing w:after="70"/>
      </w:pPr>
      <w:r>
        <w:rPr>
          <w:rFonts w:ascii="Arial" w:cs="Arial" w:eastAsia="Arial" w:hAnsi="Arial"/>
          <w:color w:val="1a202c"/>
          <w:sz w:val="21"/>
          <w:szCs w:val="21"/>
        </w:rPr>
        <w:t xml:space="preserve">The AI-Native SDLC v2.0 — a re-architected seven-phase development lifecycle for teams using AI assistants under SEA governance. Supersedes v1.1.</w:t>
      </w:r>
    </w:p>
    <w:p>
      <w:pPr>
        <w:pStyle w:val="ListParagraph"/>
        <w:numPr>
          <w:ilvl w:val="0"/>
          <w:numId w:val="2"/>
        </w:numPr>
        <w:spacing w:after="70"/>
      </w:pPr>
      <w:r>
        <w:rPr>
          <w:rFonts w:ascii="Arial" w:cs="Arial" w:eastAsia="Arial" w:hAnsi="Arial"/>
          <w:color w:val="1a202c"/>
          <w:sz w:val="21"/>
          <w:szCs w:val="21"/>
        </w:rPr>
        <w:t xml:space="preserve">Master Build Guide v1.1 — the operational companion to the SDLC, covering model selection, prompt patterns, failure modes, and rituals.</w:t>
      </w:r>
    </w:p>
    <w:p>
      <w:pPr>
        <w:pStyle w:val="ListParagraph"/>
        <w:numPr>
          <w:ilvl w:val="0"/>
          <w:numId w:val="2"/>
        </w:numPr>
        <w:spacing w:after="70"/>
      </w:pPr>
      <w:r>
        <w:rPr>
          <w:rFonts w:ascii="Arial" w:cs="Arial" w:eastAsia="Arial" w:hAnsi="Arial"/>
          <w:color w:val="1a202c"/>
          <w:sz w:val="21"/>
          <w:szCs w:val="21"/>
        </w:rPr>
        <w:t xml:space="preserve">Case Study: From Solo to Production v1.1 — the twelve-month MiVA build that produced this methodology, with CD1–CD4 documented in detail.</w:t>
      </w:r>
    </w:p>
    <w:p>
      <w:pPr>
        <w:pStyle w:val="ListParagraph"/>
        <w:numPr>
          <w:ilvl w:val="0"/>
          <w:numId w:val="2"/>
        </w:numPr>
        <w:spacing w:after="70"/>
      </w:pPr>
      <w:r>
        <w:rPr>
          <w:rFonts w:ascii="Arial" w:cs="Arial" w:eastAsia="Arial" w:hAnsi="Arial"/>
          <w:color w:val="1a202c"/>
          <w:sz w:val="21"/>
          <w:szCs w:val="21"/>
        </w:rPr>
        <w:t xml:space="preserve">The Drift Audit Methodology v1.1 — a standalone two-week diagnostic engagement for organisations using AI in production. Commercial gateway to the methodology.</w:t>
      </w:r>
    </w:p>
    <w:p>
      <w:pPr>
        <w:pStyle w:val="ListParagraph"/>
        <w:numPr>
          <w:ilvl w:val="0"/>
          <w:numId w:val="2"/>
        </w:numPr>
        <w:spacing w:after="70"/>
      </w:pPr>
      <w:r>
        <w:rPr>
          <w:rFonts w:ascii="Arial" w:cs="Arial" w:eastAsia="Arial" w:hAnsi="Arial"/>
          <w:color w:val="1a202c"/>
          <w:sz w:val="21"/>
          <w:szCs w:val="21"/>
        </w:rPr>
        <w:t xml:space="preserve">The AI-Native SDLC v1.1 — archived. The pre-SEA SDLC, preserved for teams currently using it who have not yet migrated to v2.0.</w:t>
      </w:r>
    </w:p>
    <w:p>
      <w:pPr>
        <w:spacing w:after="140"/>
        <w:jc w:val="both"/>
      </w:pPr>
      <w:r>
        <w:rPr>
          <w:rFonts w:ascii="Arial" w:cs="Arial" w:eastAsia="Arial" w:hAnsi="Arial"/>
          <w:color w:val="1a202c"/>
          <w:sz w:val="21"/>
          <w:szCs w:val="21"/>
        </w:rPr>
        <w:t xml:space="preserve">All seven are released under Creative Commons Attribution 4.0 International (CC BY 4.0). They can be adapted, shared, and built upon with attribution to the author.</w:t>
      </w:r>
    </w:p>
    <w:p>
      <w:pPr>
        <w:spacing w:after="400"/>
      </w:pPr>
      <w:r>
        <w:t xml:space="preserve"/>
      </w:r>
    </w:p>
    <w:p>
      <w:pPr>
        <w:pStyle w:val="Heading2"/>
        <w:spacing w:after="100" w:before="320"/>
      </w:pPr>
      <w:r>
        <w:rPr>
          <w:rFonts w:ascii="Arial" w:cs="Arial" w:eastAsia="Arial" w:hAnsi="Arial"/>
          <w:b/>
          <w:bCs/>
          <w:color w:val="1a202c"/>
          <w:sz w:val="28"/>
          <w:szCs w:val="28"/>
        </w:rPr>
        <w:t xml:space="preserve">Change History — SEA 1.0 → SEA 1.1</w:t>
      </w:r>
    </w:p>
    <w:p>
      <w:pPr>
        <w:spacing w:after="100"/>
        <w:jc w:val="center"/>
      </w:pPr>
      <w:r>
        <w:rPr>
          <w:rFonts w:ascii="Arial" w:cs="Arial" w:eastAsia="Arial" w:hAnsi="Arial"/>
          <w:b/>
          <w:bCs/>
          <w:color w:val="64748b"/>
          <w:sz w:val="22"/>
          <w:szCs w:val="22"/>
        </w:rPr>
        <w:t xml:space="preserve">In keeping with SEA's own principle of intent capture, the changes from version 1.0 (April 2026) to version 1.1 (May 2026) are recorded here. SEA 1.1 is a focused revision, not a rewrite — the structure, intellectual core, and roughly 85 percent of the prose are unchanged. The revisions respond to first-round expert review and address specific tone, positioning, and completeness issues without altering the framework's substance.</w:t>
      </w:r>
    </w:p>
    <w:p>
      <w:pPr>
        <w:pStyle w:val="ListParagraph"/>
        <w:numPr>
          <w:ilvl w:val="0"/>
          <w:numId w:val="2"/>
        </w:numPr>
        <w:spacing w:after="70"/>
      </w:pPr>
      <w:r>
        <w:rPr>
          <w:rFonts w:ascii="Arial" w:cs="Arial" w:eastAsia="Arial" w:hAnsi="Arial"/>
          <w:color w:val="1a202c"/>
          <w:sz w:val="21"/>
          <w:szCs w:val="21"/>
        </w:rPr>
        <w:t xml:space="preserve">Subtitle change: "An Architectural Philosophy for Systems That Must Outlive Everything About Them" → "A Governance and Continuity Framework for Long-Lived AI-Era Systems." This signals more accurately that SEA addresses a longevity-and-governance problem, complementing rather than competing with existing architectural frameworks.</w:t>
      </w:r>
    </w:p>
    <w:p>
      <w:pPr>
        <w:pStyle w:val="ListParagraph"/>
        <w:numPr>
          <w:ilvl w:val="0"/>
          <w:numId w:val="2"/>
        </w:numPr>
        <w:spacing w:after="70"/>
      </w:pPr>
      <w:r>
        <w:rPr>
          <w:rFonts w:ascii="Arial" w:cs="Arial" w:eastAsia="Arial" w:hAnsi="Arial"/>
          <w:color w:val="1a202c"/>
          <w:sz w:val="21"/>
          <w:szCs w:val="21"/>
        </w:rPr>
        <w:t xml:space="preserve">New subsection in the Executive Summary: "What SEA Is Not." Makes explicit the disclaimer that SEA does not replace TOGAF, DDD, Clean, microservices, Scrum, or any other established framework.</w:t>
      </w:r>
    </w:p>
    <w:p>
      <w:pPr>
        <w:pStyle w:val="ListParagraph"/>
        <w:numPr>
          <w:ilvl w:val="0"/>
          <w:numId w:val="2"/>
        </w:numPr>
        <w:spacing w:after="70"/>
      </w:pPr>
      <w:r>
        <w:rPr>
          <w:rFonts w:ascii="Arial" w:cs="Arial" w:eastAsia="Arial" w:hAnsi="Arial"/>
          <w:color w:val="1a202c"/>
          <w:sz w:val="21"/>
          <w:szCs w:val="21"/>
        </w:rPr>
        <w:t xml:space="preserve">Tone calibration on the "no such discipline" claim in Section 1. The revised wording acknowledges that information hiding (Parnas), bounded contexts (Evans), ports and adapters (Cockburn), ADRs, and semantic versioning each contribute pieces of a long-lived-systems discipline — what is missing is the consolidation, not the ideas.</w:t>
      </w:r>
    </w:p>
    <w:p>
      <w:pPr>
        <w:pStyle w:val="ListParagraph"/>
        <w:numPr>
          <w:ilvl w:val="0"/>
          <w:numId w:val="2"/>
        </w:numPr>
        <w:spacing w:after="70"/>
      </w:pPr>
      <w:r>
        <w:rPr>
          <w:rFonts w:ascii="Arial" w:cs="Arial" w:eastAsia="Arial" w:hAnsi="Arial"/>
          <w:color w:val="1a202c"/>
          <w:sz w:val="21"/>
          <w:szCs w:val="21"/>
        </w:rPr>
        <w:t xml:space="preserve">New Section 12.9: "Why SEA Does Not Become Bureaucracy." Names six design choices that prevent the slide into governance theatre, plus an honest acknowledgement that no design choice is sufficient on its own.</w:t>
      </w:r>
    </w:p>
    <w:p>
      <w:pPr>
        <w:pStyle w:val="ListParagraph"/>
        <w:numPr>
          <w:ilvl w:val="0"/>
          <w:numId w:val="2"/>
        </w:numPr>
        <w:spacing w:after="70"/>
      </w:pPr>
      <w:r>
        <w:rPr>
          <w:rFonts w:ascii="Arial" w:cs="Arial" w:eastAsia="Arial" w:hAnsi="Arial"/>
          <w:color w:val="1a202c"/>
          <w:sz w:val="21"/>
          <w:szCs w:val="21"/>
        </w:rPr>
        <w:t xml:space="preserve">New Annex A.6: "Hypothetical Applications." Three thought experiments — authentication provider replacement, LLM provider migration, mergers and acquisitions — clearly labelled as hypothetical, not case studies. Plus a candid paragraph extending A.5's honesty about the single-case empirical base.</w:t>
      </w:r>
    </w:p>
    <w:p>
      <w:pPr>
        <w:pStyle w:val="ListParagraph"/>
        <w:numPr>
          <w:ilvl w:val="0"/>
          <w:numId w:val="2"/>
        </w:numPr>
        <w:spacing w:after="70"/>
      </w:pPr>
      <w:r>
        <w:rPr>
          <w:rFonts w:ascii="Arial" w:cs="Arial" w:eastAsia="Arial" w:hAnsi="Arial"/>
          <w:color w:val="1a202c"/>
          <w:sz w:val="21"/>
          <w:szCs w:val="21"/>
        </w:rPr>
        <w:t xml:space="preserve">Updated companion-documents listing in Annex C from "five related documents" to the current seven-document methodology set, including the SEA Implementation Handbook (Volume 1) and the SDLC v2.0 (which superseded v1.1 via Major Version Bump).</w:t>
      </w:r>
    </w:p>
    <w:p>
      <w:pPr>
        <w:spacing w:after="100"/>
        <w:jc w:val="center"/>
      </w:pPr>
      <w:r>
        <w:rPr>
          <w:rFonts w:ascii="Arial" w:cs="Arial" w:eastAsia="Arial" w:hAnsi="Arial"/>
          <w:b/>
          <w:bCs/>
          <w:color w:val="64748b"/>
          <w:sz w:val="22"/>
          <w:szCs w:val="22"/>
        </w:rPr>
        <w:t xml:space="preserve">No changes to the seven principles, the failure mode catalogue, the five architectural layers, the sealed contract format, the governance protocol structure, or the enterprise adoption pathway. SEA 1.1 sharpens positioning and completeness; the framework itself is unchanged.</w:t>
      </w:r>
    </w:p>
    <w:p>
      <w:pPr>
        <w:spacing w:before="400"/>
        <w:jc w:val="center"/>
      </w:pPr>
      <w:r>
        <w:rPr>
          <w:rFonts w:ascii="Arial" w:cs="Arial" w:eastAsia="Arial" w:hAnsi="Arial"/>
          <w:i/>
          <w:iCs/>
          <w:color w:val="64748b"/>
          <w:sz w:val="22"/>
          <w:szCs w:val="22"/>
        </w:rPr>
        <w:t xml:space="preserve">—  End of Document  —</w:t>
      </w:r>
    </w:p>
    <w:p>
      <w:pPr>
        <w:spacing w:after="200"/>
      </w:pPr>
      <w:r>
        <w:t xml:space="preserve"/>
      </w:r>
    </w:p>
    <w:p>
      <w:pPr>
        <w:jc w:val="center"/>
      </w:pPr>
      <w:r>
        <w:rPr>
          <w:rFonts w:ascii="Arial" w:cs="Arial" w:eastAsia="Arial" w:hAnsi="Arial"/>
          <w:i/>
          <w:iCs/>
          <w:color w:val="64748b"/>
          <w:sz w:val="18"/>
          <w:szCs w:val="18"/>
        </w:rPr>
        <w:t xml:space="preserve">Sealed Enterprise Architecture 1.1  ·  A governance and continuity framework</w:t>
      </w:r>
    </w:p>
    <w:p>
      <w:pPr>
        <w:jc w:val="center"/>
      </w:pPr>
      <w:r>
        <w:rPr>
          <w:rFonts w:ascii="Arial" w:cs="Arial" w:eastAsia="Arial" w:hAnsi="Arial"/>
          <w:color w:val="64748b"/>
          <w:sz w:val="18"/>
          <w:szCs w:val="18"/>
        </w:rPr>
        <w:t xml:space="preserve">Suneesh Sidharthan  ·  suneesh.sidharthan80@gmail.com  ·  +91 9986898076</w:t>
      </w:r>
    </w:p>
    <w:p>
      <w:pPr>
        <w:jc w:val="center"/>
      </w:pPr>
      <w:r>
        <w:rPr>
          <w:rFonts w:ascii="Arial" w:cs="Arial" w:eastAsia="Arial" w:hAnsi="Arial"/>
          <w:color w:val="64748b"/>
          <w:sz w:val="18"/>
          <w:szCs w:val="18"/>
        </w:rPr>
        <w:t xml:space="preserve">Released under CC BY 4.0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Suneesh Sidharthan  ·  May 2026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b4d" w:sz="4" w:space="4"/>
      </w:pBdr>
      <w:jc w:val="right"/>
    </w:pPr>
    <w:r>
      <w:rPr>
        <w:rFonts w:ascii="Arial" w:cs="Arial" w:eastAsia="Arial" w:hAnsi="Arial"/>
        <w:i/>
        <w:iCs/>
        <w:color w:val="002b4d"/>
        <w:sz w:val="16"/>
        <w:szCs w:val="16"/>
      </w:rPr>
      <w:t xml:space="preserve">Sealed Enterprise Architecture 1.1  ·  Suneesh Sidharthan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02b4d"/>
      <w:sz w:val="38"/>
      <w:szCs w:val="38"/>
    </w:rPr>
  </w:style>
  <w:style w:type="paragraph" w:styleId="Heading2">
    <w:name w:val="Heading 2"/>
    <w:basedOn w:val="Normal"/>
    <w:next w:val="Normal"/>
    <w:qFormat/>
    <w:pPr>
      <w:spacing w:after="100" w:before="320"/>
      <w:outlineLvl w:val="1"/>
    </w:pPr>
    <w:rPr>
      <w:rFonts w:ascii="Arial" w:cs="Arial" w:eastAsia="Arial" w:hAnsi="Arial"/>
      <w:b/>
      <w:bCs/>
      <w:color w:val="1a202c"/>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04271"/>
      <w:sz w:val="23"/>
      <w:szCs w:val="23"/>
    </w:rPr>
  </w:style>
  <w:style w:type="paragraph" w:styleId="Heading4">
    <w:name w:val="Heading 4"/>
    <w:basedOn w:val="Normal"/>
    <w:next w:val="Normal"/>
    <w:qFormat/>
    <w:pPr>
      <w:spacing w:after="60" w:before="160"/>
      <w:outlineLvl w:val="3"/>
    </w:pPr>
    <w:rPr>
      <w:rFonts w:ascii="Arial" w:cs="Arial" w:eastAsia="Arial" w:hAnsi="Arial"/>
      <w:b/>
      <w:bCs/>
      <w:color w:val="0b6da8"/>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Sealed Enterprise Architecture 1.0 — A Foundational Whitepaper</dc:title>
  <dc:creator>Suneesh Sidharthan</dc:creator>
  <dc:description>An architectural philosophy for systems that must outlive everything about them</dc:description>
  <cp:lastModifiedBy>Un-named</cp:lastModifiedBy>
  <cp:revision>1</cp:revision>
  <dcterms:created xsi:type="dcterms:W3CDTF">2026-04-22T17:22:25.960Z</dcterms:created>
  <dcterms:modified xsi:type="dcterms:W3CDTF">2026-04-22T17:22:25.961Z</dcterms:modified>
</cp:coreProperties>
</file>

<file path=docProps/custom.xml><?xml version="1.0" encoding="utf-8"?>
<Properties xmlns="http://schemas.openxmlformats.org/officeDocument/2006/custom-properties" xmlns:vt="http://schemas.openxmlformats.org/officeDocument/2006/docPropsVTypes"/>
</file>