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F933D" w14:textId="77777777" w:rsidR="00C340E0" w:rsidRDefault="00000000">
      <w:pPr>
        <w:spacing w:after="40"/>
      </w:pPr>
      <w:r>
        <w:rPr>
          <w:rFonts w:ascii="Calibri" w:eastAsia="Calibri" w:hAnsi="Calibri" w:cs="Calibri"/>
          <w:b/>
          <w:bCs/>
          <w:sz w:val="32"/>
          <w:szCs w:val="32"/>
        </w:rPr>
        <w:t>Lab 3: Architecture Selection &amp; Justification</w:t>
      </w:r>
    </w:p>
    <w:p w14:paraId="3E006992" w14:textId="5A3E242C" w:rsidR="00C340E0" w:rsidRDefault="00000000">
      <w:pPr>
        <w:spacing w:after="140"/>
      </w:pPr>
      <w:r>
        <w:rPr>
          <w:rFonts w:ascii="Calibri" w:eastAsia="Calibri" w:hAnsi="Calibri" w:cs="Calibri"/>
        </w:rPr>
        <w:t xml:space="preserve">Inter-City Freight Load Matching Marketplace (Problem Statement #28)  </w:t>
      </w:r>
    </w:p>
    <w:p w14:paraId="30DEDAC9" w14:textId="77777777" w:rsidR="00C340E0" w:rsidRDefault="00000000">
      <w:pPr>
        <w:spacing w:after="100" w:line="26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>Architecture Selection: We chose Microservices Architecture for the Inter-City Freight Load Matching Marketplace System.</w:t>
      </w:r>
    </w:p>
    <w:p w14:paraId="707C1534" w14:textId="77777777" w:rsidR="00C340E0" w:rsidRDefault="00000000">
      <w:pPr>
        <w:pBdr>
          <w:bottom w:val="single" w:sz="4" w:space="1" w:color="000000"/>
        </w:pBdr>
        <w:spacing w:before="140" w:after="50"/>
      </w:pPr>
      <w:r>
        <w:rPr>
          <w:rFonts w:ascii="Calibri" w:eastAsia="Calibri" w:hAnsi="Calibri" w:cs="Calibri"/>
          <w:b/>
          <w:bCs/>
          <w:sz w:val="23"/>
          <w:szCs w:val="23"/>
        </w:rPr>
        <w:t>Architectural Choice</w:t>
      </w:r>
    </w:p>
    <w:p w14:paraId="634650F8" w14:textId="77777777" w:rsidR="00C340E0" w:rsidRDefault="00000000">
      <w:pPr>
        <w:spacing w:after="90" w:line="250" w:lineRule="auto"/>
      </w:pPr>
      <w:r>
        <w:rPr>
          <w:rFonts w:ascii="Calibri" w:eastAsia="Calibri" w:hAnsi="Calibri" w:cs="Calibri"/>
          <w:sz w:val="21"/>
          <w:szCs w:val="21"/>
        </w:rPr>
        <w:t>Microservices. The marketplace is split into independently deployable components behind an API Gateway: Carrier Verification, Load &amp; Bidding, Proof-of-Delivery, Escrow Payment and Notification services, plus the Web Portal client. They interact only through the provided/required interfaces in the component diagram (synchronous REST over TLS 1.3, and AMQP messaging for alerts).</w:t>
      </w:r>
    </w:p>
    <w:p w14:paraId="1B9D1549" w14:textId="77777777" w:rsidR="00C340E0" w:rsidRDefault="00000000">
      <w:pPr>
        <w:pBdr>
          <w:bottom w:val="single" w:sz="4" w:space="1" w:color="000000"/>
        </w:pBdr>
        <w:spacing w:before="140" w:after="50"/>
      </w:pPr>
      <w:r>
        <w:rPr>
          <w:rFonts w:ascii="Calibri" w:eastAsia="Calibri" w:hAnsi="Calibri" w:cs="Calibri"/>
          <w:b/>
          <w:bCs/>
          <w:sz w:val="23"/>
          <w:szCs w:val="23"/>
        </w:rPr>
        <w:t>Two Reasons for This Choice</w:t>
      </w:r>
    </w:p>
    <w:p w14:paraId="7446472A" w14:textId="77777777" w:rsidR="00C340E0" w:rsidRDefault="00000000"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Uneven, bursty workload needs independent scaling. </w:t>
      </w:r>
      <w:r>
        <w:rPr>
          <w:rFonts w:ascii="Calibri" w:eastAsia="Calibri" w:hAnsi="Calibri" w:cs="Calibri"/>
          <w:sz w:val="21"/>
          <w:szCs w:val="21"/>
        </w:rPr>
        <w:t>Bidding spikes when auctions close, while permit verification and proof-of-delivery uploads are low-volume. Separating Load &amp; Bidding lets us scale only that service, and keeps heavy bidding traffic from slowing escrow release (NFR-001: payment within 60 seconds).</w:t>
      </w:r>
    </w:p>
    <w:p w14:paraId="4725188F" w14:textId="77777777" w:rsidR="00C340E0" w:rsidRDefault="00000000"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Fault isolation across distinct business domains. </w:t>
      </w:r>
      <w:r>
        <w:rPr>
          <w:rFonts w:ascii="Calibri" w:eastAsia="Calibri" w:hAnsi="Calibri" w:cs="Calibri"/>
          <w:sz w:val="21"/>
          <w:szCs w:val="21"/>
        </w:rPr>
        <w:t>Shippers, carriers and administrators use different capabilities (bidding, verification, delivery, payments). If Notification or Proof-of-Delivery fails or is redeployed, bidding keeps running, and the financially sensitive Escrow Payment service can be updated, audited and deployed on its own.</w:t>
      </w:r>
    </w:p>
    <w:p w14:paraId="752BFAFD" w14:textId="77777777" w:rsidR="00C340E0" w:rsidRDefault="00000000">
      <w:pPr>
        <w:pBdr>
          <w:bottom w:val="single" w:sz="4" w:space="1" w:color="000000"/>
        </w:pBdr>
        <w:spacing w:before="140" w:after="50"/>
      </w:pPr>
      <w:r>
        <w:rPr>
          <w:rFonts w:ascii="Calibri" w:eastAsia="Calibri" w:hAnsi="Calibri" w:cs="Calibri"/>
          <w:b/>
          <w:bCs/>
          <w:sz w:val="23"/>
          <w:szCs w:val="23"/>
        </w:rPr>
        <w:t>Security Advantage</w:t>
      </w:r>
    </w:p>
    <w:p w14:paraId="3348C255" w14:textId="77777777" w:rsidR="00C340E0" w:rsidRDefault="00000000">
      <w:pPr>
        <w:spacing w:after="90" w:line="250" w:lineRule="auto"/>
      </w:pPr>
      <w:r>
        <w:rPr>
          <w:rFonts w:ascii="Calibri" w:eastAsia="Calibri" w:hAnsi="Calibri" w:cs="Calibri"/>
          <w:sz w:val="21"/>
          <w:szCs w:val="21"/>
        </w:rPr>
        <w:t>The API Gateway is the single public entry point. It terminates TLS 1.3, authenticates users and enforces role-based access (Shipper, Carrier, Administrator) before any request reaches a service. Internal services are not publicly exposed, talk to each other over mutual TLS, and keep data encrypted (AES-256) in their own datastores. A compromise of one service, such as Notification, therefore cannot expose escrow or credential data, which directly supports NFR-002.</w:t>
      </w:r>
    </w:p>
    <w:p w14:paraId="09540BA0" w14:textId="77777777" w:rsidR="00C340E0" w:rsidRDefault="00000000">
      <w:pPr>
        <w:pBdr>
          <w:bottom w:val="single" w:sz="4" w:space="1" w:color="000000"/>
        </w:pBdr>
        <w:spacing w:before="140" w:after="50"/>
      </w:pPr>
      <w:r>
        <w:rPr>
          <w:rFonts w:ascii="Calibri" w:eastAsia="Calibri" w:hAnsi="Calibri" w:cs="Calibri"/>
          <w:b/>
          <w:bCs/>
          <w:sz w:val="23"/>
          <w:szCs w:val="23"/>
        </w:rPr>
        <w:t>Performance Benefit</w:t>
      </w:r>
    </w:p>
    <w:p w14:paraId="784EBD4E" w14:textId="77777777" w:rsidR="00C340E0" w:rsidRDefault="00000000">
      <w:pPr>
        <w:spacing w:after="90" w:line="250" w:lineRule="auto"/>
      </w:pPr>
      <w:r>
        <w:rPr>
          <w:rFonts w:ascii="Calibri" w:eastAsia="Calibri" w:hAnsi="Calibri" w:cs="Calibri"/>
          <w:sz w:val="21"/>
          <w:szCs w:val="21"/>
        </w:rPr>
        <w:t>Notifications are sent through an asynchronous message queue, so a bid alert never blocks the carrier's request. The dedicated, horizontally scalable Escrow Payment service is triggered directly by Proof-of-Delivery, so milestone funds can be released inside the 60-second target even during peak bidding load.</w:t>
      </w:r>
    </w:p>
    <w:p w14:paraId="7FC164C6" w14:textId="77777777" w:rsidR="00C340E0" w:rsidRDefault="00000000">
      <w:pPr>
        <w:pBdr>
          <w:bottom w:val="single" w:sz="4" w:space="1" w:color="000000"/>
        </w:pBdr>
        <w:spacing w:before="140" w:after="50"/>
      </w:pPr>
      <w:r>
        <w:rPr>
          <w:rFonts w:ascii="Calibri" w:eastAsia="Calibri" w:hAnsi="Calibri" w:cs="Calibri"/>
          <w:b/>
          <w:bCs/>
          <w:sz w:val="23"/>
          <w:szCs w:val="23"/>
        </w:rPr>
        <w:t>Alternatives Considered and Trade-offs</w:t>
      </w:r>
    </w:p>
    <w:p w14:paraId="3944017B" w14:textId="77777777" w:rsidR="00C340E0" w:rsidRDefault="00000000">
      <w:pPr>
        <w:spacing w:after="90" w:line="250" w:lineRule="auto"/>
      </w:pPr>
      <w:r>
        <w:rPr>
          <w:rFonts w:ascii="Calibri" w:eastAsia="Calibri" w:hAnsi="Calibri" w:cs="Calibri"/>
          <w:sz w:val="21"/>
          <w:szCs w:val="21"/>
        </w:rPr>
        <w:t>Layered architecture would bundle bidding, payments and verification into one deployable unit that is hard to scale selectively. Client-Server would centralise everything on one server, creating a single point of failure and a bottleneck at auction peaks. The price of microservices is extra operational complexity, network latency and data-consistency work; we accept this and handle cross-service steps (Bidding, Proof-of-Delivery, Escrow) with an event-driven, saga-style flow.</w:t>
      </w:r>
    </w:p>
    <w:sectPr w:rsidR="00C340E0">
      <w:pgSz w:w="11906" w:h="16838"/>
      <w:pgMar w:top="1000" w:right="1150" w:bottom="900" w:left="11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A3C49"/>
    <w:multiLevelType w:val="hybridMultilevel"/>
    <w:tmpl w:val="DA989E7C"/>
    <w:lvl w:ilvl="0" w:tplc="91202314">
      <w:start w:val="1"/>
      <w:numFmt w:val="decimal"/>
      <w:lvlText w:val="%1."/>
      <w:lvlJc w:val="left"/>
      <w:pPr>
        <w:ind w:left="500" w:hanging="300"/>
      </w:pPr>
    </w:lvl>
    <w:lvl w:ilvl="1" w:tplc="30E046B4">
      <w:numFmt w:val="decimal"/>
      <w:lvlText w:val=""/>
      <w:lvlJc w:val="left"/>
    </w:lvl>
    <w:lvl w:ilvl="2" w:tplc="C52EEF54">
      <w:numFmt w:val="decimal"/>
      <w:lvlText w:val=""/>
      <w:lvlJc w:val="left"/>
    </w:lvl>
    <w:lvl w:ilvl="3" w:tplc="026AE302">
      <w:numFmt w:val="decimal"/>
      <w:lvlText w:val=""/>
      <w:lvlJc w:val="left"/>
    </w:lvl>
    <w:lvl w:ilvl="4" w:tplc="5E2073DC">
      <w:numFmt w:val="decimal"/>
      <w:lvlText w:val=""/>
      <w:lvlJc w:val="left"/>
    </w:lvl>
    <w:lvl w:ilvl="5" w:tplc="2DFA2CD6">
      <w:numFmt w:val="decimal"/>
      <w:lvlText w:val=""/>
      <w:lvlJc w:val="left"/>
    </w:lvl>
    <w:lvl w:ilvl="6" w:tplc="858E048A">
      <w:numFmt w:val="decimal"/>
      <w:lvlText w:val=""/>
      <w:lvlJc w:val="left"/>
    </w:lvl>
    <w:lvl w:ilvl="7" w:tplc="79344942">
      <w:numFmt w:val="decimal"/>
      <w:lvlText w:val=""/>
      <w:lvlJc w:val="left"/>
    </w:lvl>
    <w:lvl w:ilvl="8" w:tplc="F8684678">
      <w:numFmt w:val="decimal"/>
      <w:lvlText w:val=""/>
      <w:lvlJc w:val="left"/>
    </w:lvl>
  </w:abstractNum>
  <w:abstractNum w:abstractNumId="1" w15:restartNumberingAfterBreak="0">
    <w:nsid w:val="7B2E7943"/>
    <w:multiLevelType w:val="hybridMultilevel"/>
    <w:tmpl w:val="0C50C5DA"/>
    <w:lvl w:ilvl="0" w:tplc="C9344E26">
      <w:start w:val="1"/>
      <w:numFmt w:val="bullet"/>
      <w:lvlText w:val="●"/>
      <w:lvlJc w:val="left"/>
      <w:pPr>
        <w:ind w:left="720" w:hanging="360"/>
      </w:pPr>
    </w:lvl>
    <w:lvl w:ilvl="1" w:tplc="8264A83A">
      <w:start w:val="1"/>
      <w:numFmt w:val="bullet"/>
      <w:lvlText w:val="○"/>
      <w:lvlJc w:val="left"/>
      <w:pPr>
        <w:ind w:left="1440" w:hanging="360"/>
      </w:pPr>
    </w:lvl>
    <w:lvl w:ilvl="2" w:tplc="2DE86174">
      <w:start w:val="1"/>
      <w:numFmt w:val="bullet"/>
      <w:lvlText w:val="■"/>
      <w:lvlJc w:val="left"/>
      <w:pPr>
        <w:ind w:left="2160" w:hanging="360"/>
      </w:pPr>
    </w:lvl>
    <w:lvl w:ilvl="3" w:tplc="1C80DCB8">
      <w:start w:val="1"/>
      <w:numFmt w:val="bullet"/>
      <w:lvlText w:val="●"/>
      <w:lvlJc w:val="left"/>
      <w:pPr>
        <w:ind w:left="2880" w:hanging="360"/>
      </w:pPr>
    </w:lvl>
    <w:lvl w:ilvl="4" w:tplc="12B62376">
      <w:start w:val="1"/>
      <w:numFmt w:val="bullet"/>
      <w:lvlText w:val="○"/>
      <w:lvlJc w:val="left"/>
      <w:pPr>
        <w:ind w:left="3600" w:hanging="360"/>
      </w:pPr>
    </w:lvl>
    <w:lvl w:ilvl="5" w:tplc="BD46CCC4">
      <w:start w:val="1"/>
      <w:numFmt w:val="bullet"/>
      <w:lvlText w:val="■"/>
      <w:lvlJc w:val="left"/>
      <w:pPr>
        <w:ind w:left="4320" w:hanging="360"/>
      </w:pPr>
    </w:lvl>
    <w:lvl w:ilvl="6" w:tplc="3B02211E">
      <w:start w:val="1"/>
      <w:numFmt w:val="bullet"/>
      <w:lvlText w:val="●"/>
      <w:lvlJc w:val="left"/>
      <w:pPr>
        <w:ind w:left="5040" w:hanging="360"/>
      </w:pPr>
    </w:lvl>
    <w:lvl w:ilvl="7" w:tplc="DAB29AD6">
      <w:start w:val="1"/>
      <w:numFmt w:val="bullet"/>
      <w:lvlText w:val="●"/>
      <w:lvlJc w:val="left"/>
      <w:pPr>
        <w:ind w:left="5760" w:hanging="360"/>
      </w:pPr>
    </w:lvl>
    <w:lvl w:ilvl="8" w:tplc="877E876C">
      <w:start w:val="1"/>
      <w:numFmt w:val="bullet"/>
      <w:lvlText w:val="●"/>
      <w:lvlJc w:val="left"/>
      <w:pPr>
        <w:ind w:left="6480" w:hanging="360"/>
      </w:pPr>
    </w:lvl>
  </w:abstractNum>
  <w:num w:numId="1" w16cid:durableId="327564509">
    <w:abstractNumId w:val="1"/>
    <w:lvlOverride w:ilvl="0">
      <w:startOverride w:val="1"/>
    </w:lvlOverride>
  </w:num>
  <w:num w:numId="2" w16cid:durableId="12951382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0E0"/>
    <w:rsid w:val="002A6301"/>
    <w:rsid w:val="00606E3C"/>
    <w:rsid w:val="00C3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D6EE3"/>
  <w15:docId w15:val="{8A3F1DE3-AD02-4B1B-BC89-2F59ECC1B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sunilanilgunnu@outlook.com</cp:lastModifiedBy>
  <cp:revision>2</cp:revision>
  <dcterms:created xsi:type="dcterms:W3CDTF">2026-09-28T02:52:00Z</dcterms:created>
  <dcterms:modified xsi:type="dcterms:W3CDTF">2026-09-28T03:06:00Z</dcterms:modified>
</cp:coreProperties>
</file>