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D900C9">
        <w:rPr>
          <w:i/>
        </w:rPr>
        <w:t>2</w:t>
      </w:r>
      <w:r w:rsidR="00FF0572">
        <w:rPr>
          <w:i/>
        </w:rPr>
        <w:t>2</w:t>
      </w:r>
      <w:r>
        <w:rPr>
          <w:i/>
        </w:rPr>
        <w:t>0319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D900C9">
        <w:rPr>
          <w:i/>
          <w:sz w:val="22"/>
        </w:rPr>
        <w:t>2</w:t>
      </w:r>
      <w:r w:rsidR="00FF0572">
        <w:rPr>
          <w:i/>
          <w:sz w:val="22"/>
        </w:rPr>
        <w:t>2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tháng</w:t>
      </w:r>
      <w:proofErr w:type="spellEnd"/>
      <w:r w:rsidR="00B36BCB">
        <w:rPr>
          <w:i/>
          <w:sz w:val="22"/>
        </w:rPr>
        <w:t xml:space="preserve"> 03,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8"/>
        <w:gridCol w:w="1150"/>
        <w:gridCol w:w="1417"/>
        <w:gridCol w:w="850"/>
        <w:gridCol w:w="1987"/>
        <w:gridCol w:w="998"/>
        <w:gridCol w:w="1567"/>
        <w:gridCol w:w="1511"/>
      </w:tblGrid>
      <w:tr w:rsidR="0091220B" w:rsidRPr="007039A1" w:rsidTr="00FF0572">
        <w:trPr>
          <w:trHeight w:val="9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STT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Mô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tả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sản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Tiêu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Kích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91220B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Số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54796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(VNĐ/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="0091220B"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Thành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(VNĐ)</w:t>
            </w:r>
          </w:p>
        </w:tc>
      </w:tr>
      <w:tr w:rsidR="0091220B" w:rsidRPr="007039A1" w:rsidTr="00FF0572">
        <w:trPr>
          <w:trHeight w:val="9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91220B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Super Duplex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91220B" w:rsidP="00FF0572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UNS S32750 AS</w:t>
            </w:r>
            <w:r w:rsidR="00FF0572">
              <w:rPr>
                <w:color w:val="000000"/>
                <w:sz w:val="22"/>
                <w:szCs w:val="22"/>
                <w:lang w:val="en-SG" w:eastAsia="en-SG"/>
              </w:rPr>
              <w:t xml:space="preserve">TM 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A240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FF0572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EU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FF0572" w:rsidP="0091220B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8</w:t>
            </w:r>
            <w:r w:rsidR="0091220B">
              <w:rPr>
                <w:color w:val="000000"/>
                <w:sz w:val="22"/>
                <w:szCs w:val="22"/>
                <w:lang w:val="en-SG" w:eastAsia="en-SG"/>
              </w:rPr>
              <w:t>mmTx2000x2100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FF0572" w:rsidP="00FF0572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8</w:t>
            </w:r>
            <w:r w:rsidR="00DB1E37">
              <w:rPr>
                <w:color w:val="000000"/>
                <w:sz w:val="22"/>
                <w:szCs w:val="22"/>
                <w:lang w:val="en-SG" w:eastAsia="en-SG"/>
              </w:rPr>
              <w:t>3,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064</w:t>
            </w:r>
            <w:r w:rsidR="00DB1E37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5</w:t>
            </w:r>
            <w:r w:rsidR="00DB1E37">
              <w:rPr>
                <w:color w:val="000000"/>
                <w:sz w:val="22"/>
                <w:szCs w:val="22"/>
                <w:lang w:val="en-SG" w:eastAsia="en-SG"/>
              </w:rPr>
              <w:t>00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220B" w:rsidRPr="007039A1" w:rsidRDefault="00FF0572" w:rsidP="00935E46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83,064,500</w:t>
            </w:r>
          </w:p>
        </w:tc>
      </w:tr>
      <w:tr w:rsidR="00D900C9" w:rsidRPr="007039A1" w:rsidTr="0091220B">
        <w:trPr>
          <w:trHeight w:val="300"/>
        </w:trPr>
        <w:tc>
          <w:tcPr>
            <w:tcW w:w="425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7039A1" w:rsidRDefault="00D900C9" w:rsidP="006307EE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7039A1" w:rsidRDefault="00FF0572" w:rsidP="00DB1E37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8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,3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06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450</w:t>
            </w:r>
          </w:p>
        </w:tc>
      </w:tr>
      <w:tr w:rsidR="00D900C9" w:rsidRPr="007039A1" w:rsidTr="0091220B">
        <w:trPr>
          <w:trHeight w:val="300"/>
        </w:trPr>
        <w:tc>
          <w:tcPr>
            <w:tcW w:w="425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7039A1" w:rsidRDefault="00D900C9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Cộng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sau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7039A1" w:rsidRDefault="00FF0572" w:rsidP="00AB2ACB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91,370,95</w:t>
            </w:r>
            <w:r w:rsidR="00DB1E37">
              <w:rPr>
                <w:b/>
                <w:color w:val="000000"/>
                <w:sz w:val="22"/>
                <w:szCs w:val="22"/>
                <w:lang w:val="en-SG" w:eastAsia="en-SG"/>
              </w:rPr>
              <w:t>0</w:t>
            </w:r>
          </w:p>
        </w:tc>
      </w:tr>
      <w:tr w:rsidR="00D900C9" w:rsidRPr="007039A1" w:rsidTr="007039A1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B1E37" w:rsidRDefault="00DB1E37" w:rsidP="00DB1E37">
            <w:pPr>
              <w:tabs>
                <w:tab w:val="left" w:pos="5040"/>
              </w:tabs>
              <w:rPr>
                <w:i/>
                <w:sz w:val="22"/>
                <w:lang w:val="fr-FR"/>
              </w:rPr>
            </w:pPr>
            <w:proofErr w:type="spellStart"/>
            <w:r w:rsidRPr="00DB1E37">
              <w:rPr>
                <w:i/>
                <w:sz w:val="22"/>
                <w:lang w:val="fr-FR"/>
              </w:rPr>
              <w:t>Giá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trên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đã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bao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gồm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chi </w:t>
            </w:r>
            <w:proofErr w:type="spellStart"/>
            <w:r w:rsidRPr="00DB1E37">
              <w:rPr>
                <w:i/>
                <w:sz w:val="22"/>
                <w:lang w:val="fr-FR"/>
              </w:rPr>
              <w:t>phí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vận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chuyển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, </w:t>
            </w:r>
            <w:proofErr w:type="spellStart"/>
            <w:r w:rsidRPr="00DB1E37">
              <w:rPr>
                <w:i/>
                <w:sz w:val="22"/>
                <w:lang w:val="fr-FR"/>
              </w:rPr>
              <w:t>thuế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nhập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khẩu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và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thuế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DB1E37">
        <w:rPr>
          <w:rFonts w:ascii="Times New Roman" w:hAnsi="Times New Roman" w:cs="Times New Roman"/>
          <w:szCs w:val="24"/>
          <w:lang w:val="fr-FR"/>
        </w:rPr>
        <w:t>45-50</w:t>
      </w:r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DB1E37">
        <w:rPr>
          <w:rFonts w:ascii="Times New Roman" w:hAnsi="Times New Roman" w:cs="Times New Roman"/>
          <w:szCs w:val="24"/>
          <w:lang w:val="fr-FR"/>
        </w:rPr>
        <w:t xml:space="preserve"> </w:t>
      </w:r>
      <w:r w:rsidR="00DB1E37" w:rsidRPr="00DB1E37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vận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chuyển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bằng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đường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biển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)</w:t>
      </w:r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Doosan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Vina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Khu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kinh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tế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Dung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Quất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D900C9" w:rsidRPr="00837E1F">
        <w:rPr>
          <w:rFonts w:ascii="Times New Roman" w:hAnsi="Times New Roman" w:cs="Times New Roman"/>
          <w:szCs w:val="24"/>
          <w:lang w:val="fr-FR"/>
        </w:rPr>
        <w:t>30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Cam </w:t>
      </w:r>
      <w:proofErr w:type="spellStart"/>
      <w:r w:rsidRPr="00837E1F">
        <w:rPr>
          <w:sz w:val="22"/>
          <w:lang w:val="fr-FR"/>
        </w:rPr>
        <w:t>kết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chất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lượng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hàng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hóa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và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thời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gian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giao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hàng</w:t>
      </w:r>
      <w:proofErr w:type="spellEnd"/>
    </w:p>
    <w:p w:rsidR="00CE4944" w:rsidRPr="00837E1F" w:rsidRDefault="00DE67F2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cam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kết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đúng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chất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lượng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/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tiêu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chuẩn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theo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yêu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cầu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của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mua;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đủ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số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lượng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mua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đặt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>;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cam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kết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đúng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thời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A17C0C" w:rsidRPr="00837E1F">
        <w:rPr>
          <w:rFonts w:ascii="Times New Roman" w:hAnsi="Times New Roman" w:cs="Times New Roman"/>
          <w:szCs w:val="24"/>
          <w:lang w:val="fr-FR"/>
        </w:rPr>
        <w:t>hạn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và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cung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cấp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đầy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đủ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chứng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chỉ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/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giấy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tờ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szCs w:val="24"/>
          <w:lang w:val="fr-FR"/>
        </w:rPr>
        <w:t>cần</w:t>
      </w:r>
      <w:proofErr w:type="spellEnd"/>
      <w:r w:rsidR="007039A1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szCs w:val="24"/>
          <w:lang w:val="fr-FR"/>
        </w:rPr>
        <w:t>thiết</w:t>
      </w:r>
      <w:proofErr w:type="spellEnd"/>
      <w:r w:rsidR="007039A1" w:rsidRPr="00837E1F">
        <w:rPr>
          <w:rFonts w:ascii="Times New Roman" w:hAnsi="Times New Roman" w:cs="Times New Roman"/>
          <w:szCs w:val="24"/>
          <w:lang w:val="fr-FR"/>
        </w:rPr>
        <w:t>.</w:t>
      </w:r>
      <w:bookmarkStart w:id="0" w:name="_GoBack"/>
      <w:bookmarkEnd w:id="0"/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84623A" w:rsidP="00B77359">
            <w:pPr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42345AA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73367"/>
    <w:rsid w:val="001919AA"/>
    <w:rsid w:val="001A338B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4796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0AA7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1220B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2881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0C9"/>
    <w:rsid w:val="00D9048A"/>
    <w:rsid w:val="00D93FB7"/>
    <w:rsid w:val="00DA1CE8"/>
    <w:rsid w:val="00DA1EED"/>
    <w:rsid w:val="00DA4540"/>
    <w:rsid w:val="00DB1E37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0572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D1C19-BBDE-49BA-AC17-8ED558EB0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4</cp:revision>
  <cp:lastPrinted>2019-03-22T03:02:00Z</cp:lastPrinted>
  <dcterms:created xsi:type="dcterms:W3CDTF">2019-03-22T02:56:00Z</dcterms:created>
  <dcterms:modified xsi:type="dcterms:W3CDTF">2019-03-22T03:08:00Z</dcterms:modified>
</cp:coreProperties>
</file>