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3672BD">
        <w:rPr>
          <w:i/>
        </w:rPr>
        <w:t>26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95246C">
        <w:rPr>
          <w:i/>
          <w:sz w:val="22"/>
        </w:rPr>
        <w:t>10</w:t>
      </w:r>
      <w:r w:rsidR="00736CEF">
        <w:rPr>
          <w:i/>
          <w:sz w:val="22"/>
        </w:rPr>
        <w:t xml:space="preserve">, </w:t>
      </w:r>
      <w:proofErr w:type="spellStart"/>
      <w:r w:rsidR="00736CEF">
        <w:rPr>
          <w:i/>
          <w:sz w:val="22"/>
        </w:rPr>
        <w:t>tháng</w:t>
      </w:r>
      <w:proofErr w:type="spellEnd"/>
      <w:r w:rsidR="00736CEF">
        <w:rPr>
          <w:i/>
          <w:sz w:val="22"/>
        </w:rPr>
        <w:t xml:space="preserve"> 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59"/>
        <w:gridCol w:w="888"/>
        <w:gridCol w:w="1208"/>
        <w:gridCol w:w="1283"/>
      </w:tblGrid>
      <w:tr w:rsidR="00FE3891" w:rsidRPr="005C7BA1" w:rsidTr="0095246C">
        <w:trPr>
          <w:trHeight w:val="744"/>
        </w:trPr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3891" w:rsidRPr="005C7BA1" w:rsidRDefault="0095246C" w:rsidP="00FE3891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STAINLESS STEEL WELDED PIPE ASTM A928 Gr. S32750 CL 1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3891" w:rsidRPr="005C7BA1" w:rsidRDefault="0095246C" w:rsidP="00FE389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Q’ty</w:t>
            </w:r>
            <w:proofErr w:type="spellEnd"/>
            <w:r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FE3891"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(m)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3891" w:rsidRPr="005C7BA1" w:rsidRDefault="0095246C" w:rsidP="00FE389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Unit Price</w:t>
            </w:r>
            <w:r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br/>
              <w:t>(USD/pc</w:t>
            </w:r>
            <w:r w:rsidR="00FE3891"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3891" w:rsidRPr="005C7BA1" w:rsidRDefault="00FE3891" w:rsidP="00FE389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Total Price </w:t>
            </w:r>
            <w:r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br/>
              <w:t>(USD)</w:t>
            </w:r>
          </w:p>
        </w:tc>
      </w:tr>
      <w:tr w:rsidR="005C7BA1" w:rsidRPr="005C7BA1" w:rsidTr="001A4575">
        <w:trPr>
          <w:trHeight w:val="315"/>
        </w:trPr>
        <w:tc>
          <w:tcPr>
            <w:tcW w:w="3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BA1" w:rsidRPr="005C7BA1" w:rsidRDefault="005C7BA1" w:rsidP="0095246C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color w:val="000000"/>
                <w:sz w:val="22"/>
                <w:szCs w:val="22"/>
                <w:lang w:val="en-SG" w:eastAsia="en-SG"/>
              </w:rPr>
              <w:t>STAINLESS STEEL WELDED PIPE ASTM A928 Gr. S32750 CL 1</w:t>
            </w:r>
          </w:p>
          <w:p w:rsidR="005C7BA1" w:rsidRPr="005C7BA1" w:rsidRDefault="005C7BA1" w:rsidP="0095246C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color w:val="000000"/>
                <w:sz w:val="22"/>
                <w:szCs w:val="22"/>
                <w:lang w:val="en-SG" w:eastAsia="en-SG"/>
              </w:rPr>
              <w:t>DN250 x SCH10s x 5800mmL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BA1" w:rsidRPr="005C7BA1" w:rsidRDefault="005C7BA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7BA1" w:rsidRPr="005C7BA1" w:rsidRDefault="005C7BA1">
            <w:pPr>
              <w:jc w:val="right"/>
              <w:rPr>
                <w:color w:val="000000"/>
                <w:sz w:val="22"/>
                <w:szCs w:val="22"/>
              </w:rPr>
            </w:pPr>
            <w:r w:rsidRPr="005C7BA1">
              <w:rPr>
                <w:color w:val="000000"/>
                <w:sz w:val="22"/>
                <w:szCs w:val="22"/>
              </w:rPr>
              <w:t>11,487.76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7BA1" w:rsidRPr="005C7BA1" w:rsidRDefault="005C7BA1" w:rsidP="00927740">
            <w:pPr>
              <w:jc w:val="right"/>
              <w:rPr>
                <w:color w:val="000000"/>
                <w:sz w:val="22"/>
                <w:szCs w:val="22"/>
              </w:rPr>
            </w:pPr>
            <w:r w:rsidRPr="005C7BA1">
              <w:rPr>
                <w:color w:val="000000"/>
                <w:sz w:val="22"/>
                <w:szCs w:val="22"/>
              </w:rPr>
              <w:t>11,487.76</w:t>
            </w:r>
          </w:p>
        </w:tc>
      </w:tr>
      <w:tr w:rsidR="005C7BA1" w:rsidRPr="005C7BA1" w:rsidTr="001A4575">
        <w:trPr>
          <w:trHeight w:val="315"/>
        </w:trPr>
        <w:tc>
          <w:tcPr>
            <w:tcW w:w="3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BA1" w:rsidRPr="005C7BA1" w:rsidRDefault="005C7BA1" w:rsidP="0095246C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color w:val="000000"/>
                <w:sz w:val="22"/>
                <w:szCs w:val="22"/>
                <w:lang w:val="en-SG" w:eastAsia="en-SG"/>
              </w:rPr>
              <w:t>STAINLESS STEEL WELDED PIPE ASTM A928 Gr. S32750 CL 1</w:t>
            </w:r>
          </w:p>
          <w:p w:rsidR="005C7BA1" w:rsidRPr="005C7BA1" w:rsidRDefault="005C7BA1" w:rsidP="0095246C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color w:val="000000"/>
                <w:sz w:val="22"/>
                <w:szCs w:val="22"/>
                <w:lang w:val="en-SG" w:eastAsia="en-SG"/>
              </w:rPr>
              <w:t>DN200 x SCH10s x 5800mmL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BA1" w:rsidRPr="005C7BA1" w:rsidRDefault="005C7BA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7BA1" w:rsidRPr="005C7BA1" w:rsidRDefault="005C7BA1">
            <w:pPr>
              <w:jc w:val="right"/>
              <w:rPr>
                <w:color w:val="000000"/>
                <w:sz w:val="22"/>
                <w:szCs w:val="22"/>
              </w:rPr>
            </w:pPr>
            <w:r w:rsidRPr="005C7BA1">
              <w:rPr>
                <w:color w:val="000000"/>
                <w:sz w:val="22"/>
                <w:szCs w:val="22"/>
              </w:rPr>
              <w:t>9,991.27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7BA1" w:rsidRPr="005C7BA1" w:rsidRDefault="005C7BA1" w:rsidP="00927740">
            <w:pPr>
              <w:jc w:val="right"/>
              <w:rPr>
                <w:color w:val="000000"/>
                <w:sz w:val="22"/>
                <w:szCs w:val="22"/>
              </w:rPr>
            </w:pPr>
            <w:r w:rsidRPr="005C7BA1">
              <w:rPr>
                <w:color w:val="000000"/>
                <w:sz w:val="22"/>
                <w:szCs w:val="22"/>
              </w:rPr>
              <w:t>9,991.27</w:t>
            </w:r>
          </w:p>
        </w:tc>
      </w:tr>
      <w:tr w:rsidR="005C7BA1" w:rsidRPr="005C7BA1" w:rsidTr="001A4575">
        <w:trPr>
          <w:trHeight w:val="315"/>
        </w:trPr>
        <w:tc>
          <w:tcPr>
            <w:tcW w:w="3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BA1" w:rsidRPr="005C7BA1" w:rsidRDefault="005C7BA1" w:rsidP="0095246C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color w:val="000000"/>
                <w:sz w:val="22"/>
                <w:szCs w:val="22"/>
                <w:lang w:val="en-SG" w:eastAsia="en-SG"/>
              </w:rPr>
              <w:t>STAINLESS STEEL WELDED PIPE ASTM A928 Gr. S32750 CL 1</w:t>
            </w:r>
          </w:p>
          <w:p w:rsidR="005C7BA1" w:rsidRPr="005C7BA1" w:rsidRDefault="005C7BA1" w:rsidP="0095246C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color w:val="000000"/>
                <w:sz w:val="22"/>
                <w:szCs w:val="22"/>
                <w:lang w:val="en-SG" w:eastAsia="en-SG"/>
              </w:rPr>
              <w:t>DN150 x SCH10s x 5800mmL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BA1" w:rsidRPr="005C7BA1" w:rsidRDefault="005C7BA1" w:rsidP="00FE389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7BA1" w:rsidRPr="005C7BA1" w:rsidRDefault="005C7BA1">
            <w:pPr>
              <w:jc w:val="right"/>
              <w:rPr>
                <w:color w:val="000000"/>
                <w:sz w:val="22"/>
                <w:szCs w:val="22"/>
              </w:rPr>
            </w:pPr>
            <w:r w:rsidRPr="005C7BA1">
              <w:rPr>
                <w:color w:val="000000"/>
                <w:sz w:val="22"/>
                <w:szCs w:val="22"/>
              </w:rPr>
              <w:t>4,826.91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7BA1" w:rsidRPr="005C7BA1" w:rsidRDefault="005C7BA1" w:rsidP="00927740">
            <w:pPr>
              <w:jc w:val="right"/>
              <w:rPr>
                <w:color w:val="000000"/>
                <w:sz w:val="22"/>
                <w:szCs w:val="22"/>
              </w:rPr>
            </w:pPr>
            <w:r w:rsidRPr="005C7BA1">
              <w:rPr>
                <w:color w:val="000000"/>
                <w:sz w:val="22"/>
                <w:szCs w:val="22"/>
              </w:rPr>
              <w:t>4,826.91</w:t>
            </w:r>
          </w:p>
        </w:tc>
      </w:tr>
      <w:tr w:rsidR="00FE3891" w:rsidRPr="005C7BA1" w:rsidTr="0095246C">
        <w:trPr>
          <w:trHeight w:val="315"/>
        </w:trPr>
        <w:tc>
          <w:tcPr>
            <w:tcW w:w="43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E3891" w:rsidRPr="005C7BA1" w:rsidRDefault="00736CEF" w:rsidP="00FE3891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color w:val="000000"/>
                <w:sz w:val="22"/>
                <w:szCs w:val="22"/>
                <w:lang w:val="en-SG" w:eastAsia="en-SG"/>
              </w:rPr>
              <w:t>Total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E3891" w:rsidRPr="005C7BA1" w:rsidRDefault="005C7BA1" w:rsidP="0095246C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bCs/>
                <w:sz w:val="22"/>
                <w:szCs w:val="22"/>
                <w:lang w:val="en-SG" w:eastAsia="en-SG"/>
              </w:rPr>
              <w:t>26,305.94</w:t>
            </w:r>
          </w:p>
        </w:tc>
      </w:tr>
      <w:tr w:rsidR="00736CEF" w:rsidRPr="005C7BA1" w:rsidTr="0095246C">
        <w:trPr>
          <w:trHeight w:val="315"/>
        </w:trPr>
        <w:tc>
          <w:tcPr>
            <w:tcW w:w="43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6CEF" w:rsidRPr="005C7BA1" w:rsidRDefault="00736CEF" w:rsidP="00B7180D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color w:val="000000"/>
                <w:sz w:val="22"/>
                <w:szCs w:val="22"/>
                <w:lang w:val="en-SG" w:eastAsia="en-SG"/>
              </w:rPr>
              <w:t>Mill Test Certificate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36CEF" w:rsidRPr="005C7BA1" w:rsidRDefault="00736CEF" w:rsidP="00B7180D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bCs/>
                <w:sz w:val="22"/>
                <w:szCs w:val="22"/>
                <w:lang w:val="en-SG" w:eastAsia="en-SG"/>
              </w:rPr>
              <w:t>included</w:t>
            </w:r>
          </w:p>
        </w:tc>
      </w:tr>
      <w:tr w:rsidR="00736CEF" w:rsidRPr="005C7BA1" w:rsidTr="0095246C">
        <w:trPr>
          <w:trHeight w:val="315"/>
        </w:trPr>
        <w:tc>
          <w:tcPr>
            <w:tcW w:w="43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5C7BA1" w:rsidRDefault="00736CEF" w:rsidP="00FE3891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color w:val="000000"/>
                <w:sz w:val="22"/>
                <w:szCs w:val="22"/>
                <w:lang w:val="en-SG" w:eastAsia="en-SG"/>
              </w:rPr>
              <w:t>Certificate of Origin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5C7BA1" w:rsidRDefault="00736CEF" w:rsidP="00FE3891">
            <w:pPr>
              <w:spacing w:line="240" w:lineRule="auto"/>
              <w:jc w:val="right"/>
              <w:rPr>
                <w:b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bCs/>
                <w:sz w:val="22"/>
                <w:szCs w:val="22"/>
                <w:lang w:val="en-SG" w:eastAsia="en-SG"/>
              </w:rPr>
              <w:t>included</w:t>
            </w:r>
          </w:p>
        </w:tc>
      </w:tr>
      <w:tr w:rsidR="00736CEF" w:rsidRPr="005C7BA1" w:rsidTr="0095246C">
        <w:trPr>
          <w:trHeight w:val="315"/>
        </w:trPr>
        <w:tc>
          <w:tcPr>
            <w:tcW w:w="43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5C7BA1" w:rsidRDefault="00736CEF" w:rsidP="00FE3891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color w:val="000000"/>
                <w:sz w:val="22"/>
                <w:szCs w:val="22"/>
                <w:lang w:val="en-SG" w:eastAsia="en-SG"/>
              </w:rPr>
              <w:t>VAT 10%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5C7BA1" w:rsidRDefault="005C7BA1" w:rsidP="0095246C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bCs/>
                <w:sz w:val="22"/>
                <w:szCs w:val="22"/>
                <w:lang w:val="en-SG" w:eastAsia="en-SG"/>
              </w:rPr>
              <w:t>2</w:t>
            </w:r>
            <w:r w:rsidRPr="005C7BA1">
              <w:rPr>
                <w:b/>
                <w:bCs/>
                <w:sz w:val="22"/>
                <w:szCs w:val="22"/>
                <w:lang w:val="en-SG" w:eastAsia="en-SG"/>
              </w:rPr>
              <w:t>,6</w:t>
            </w:r>
            <w:r w:rsidRPr="005C7BA1">
              <w:rPr>
                <w:b/>
                <w:bCs/>
                <w:sz w:val="22"/>
                <w:szCs w:val="22"/>
                <w:lang w:val="en-SG" w:eastAsia="en-SG"/>
              </w:rPr>
              <w:t>30</w:t>
            </w:r>
            <w:r w:rsidRPr="005C7BA1">
              <w:rPr>
                <w:b/>
                <w:bCs/>
                <w:sz w:val="22"/>
                <w:szCs w:val="22"/>
                <w:lang w:val="en-SG" w:eastAsia="en-SG"/>
              </w:rPr>
              <w:t>.59</w:t>
            </w:r>
          </w:p>
        </w:tc>
      </w:tr>
      <w:tr w:rsidR="00736CEF" w:rsidRPr="005C7BA1" w:rsidTr="0095246C">
        <w:trPr>
          <w:trHeight w:val="315"/>
        </w:trPr>
        <w:tc>
          <w:tcPr>
            <w:tcW w:w="43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5C7BA1" w:rsidRDefault="00736CEF" w:rsidP="00FE3891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Total after VAT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6CEF" w:rsidRPr="005C7BA1" w:rsidRDefault="005C7BA1" w:rsidP="00FE3891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5C7B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28,936.53</w:t>
            </w:r>
          </w:p>
        </w:tc>
      </w:tr>
    </w:tbl>
    <w:p w:rsidR="00FE3891" w:rsidRPr="00C63F9B" w:rsidRDefault="00C63F9B" w:rsidP="00E83B26">
      <w:pPr>
        <w:tabs>
          <w:tab w:val="left" w:pos="5040"/>
        </w:tabs>
        <w:rPr>
          <w:bCs/>
          <w:i/>
          <w:color w:val="000000"/>
          <w:sz w:val="20"/>
          <w:szCs w:val="22"/>
          <w:lang w:val="en-SG" w:eastAsia="en-SG"/>
        </w:rPr>
      </w:pPr>
      <w:proofErr w:type="spellStart"/>
      <w:r w:rsidRPr="00C63F9B">
        <w:rPr>
          <w:i/>
          <w:sz w:val="20"/>
          <w:lang w:val="fr-FR"/>
        </w:rPr>
        <w:t>Length</w:t>
      </w:r>
      <w:proofErr w:type="spellEnd"/>
      <w:r w:rsidRPr="00C63F9B">
        <w:rPr>
          <w:i/>
          <w:sz w:val="20"/>
          <w:lang w:val="fr-FR"/>
        </w:rPr>
        <w:t xml:space="preserve"> </w:t>
      </w:r>
      <w:proofErr w:type="spellStart"/>
      <w:r w:rsidRPr="00C63F9B">
        <w:rPr>
          <w:i/>
          <w:sz w:val="20"/>
          <w:lang w:val="fr-FR"/>
        </w:rPr>
        <w:t>tolerance</w:t>
      </w:r>
      <w:proofErr w:type="spellEnd"/>
      <w:r w:rsidRPr="00C63F9B">
        <w:rPr>
          <w:i/>
          <w:sz w:val="20"/>
          <w:lang w:val="fr-FR"/>
        </w:rPr>
        <w:t xml:space="preserve">: </w:t>
      </w:r>
      <w:r w:rsidRPr="00C63F9B">
        <w:rPr>
          <w:bCs/>
          <w:i/>
          <w:color w:val="000000"/>
          <w:sz w:val="20"/>
          <w:szCs w:val="22"/>
          <w:lang w:val="en-SG" w:eastAsia="en-SG"/>
        </w:rPr>
        <w:t>+/-10mm</w:t>
      </w:r>
    </w:p>
    <w:p w:rsidR="00C63F9B" w:rsidRPr="00C63F9B" w:rsidRDefault="00C63F9B" w:rsidP="00E83B26">
      <w:pPr>
        <w:tabs>
          <w:tab w:val="left" w:pos="5040"/>
        </w:tabs>
        <w:rPr>
          <w:i/>
          <w:sz w:val="20"/>
          <w:lang w:val="fr-FR"/>
        </w:rPr>
      </w:pPr>
      <w:r w:rsidRPr="00C63F9B">
        <w:rPr>
          <w:bCs/>
          <w:i/>
          <w:color w:val="000000"/>
          <w:sz w:val="20"/>
          <w:szCs w:val="22"/>
          <w:lang w:val="en-SG" w:eastAsia="en-SG"/>
        </w:rPr>
        <w:t>Origin: EU</w:t>
      </w:r>
    </w:p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D71704">
        <w:rPr>
          <w:rFonts w:ascii="Times New Roman" w:hAnsi="Times New Roman" w:cs="Times New Roman"/>
          <w:szCs w:val="24"/>
          <w:lang w:val="fr-FR"/>
        </w:rPr>
        <w:t>12</w:t>
      </w:r>
      <w:bookmarkStart w:id="0" w:name="_GoBack"/>
      <w:bookmarkEnd w:id="0"/>
      <w:r w:rsidR="003056AF" w:rsidRPr="00FE3891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E3891" w:rsidRPr="00FE3891">
        <w:rPr>
          <w:rFonts w:ascii="Times New Roman" w:hAnsi="Times New Roman" w:cs="Times New Roman"/>
          <w:szCs w:val="24"/>
          <w:lang w:val="fr-FR"/>
        </w:rPr>
        <w:t>tuần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2709F0">
        <w:rPr>
          <w:rFonts w:ascii="Times New Roman" w:hAnsi="Times New Roman" w:cs="Times New Roman"/>
          <w:szCs w:val="24"/>
          <w:lang w:val="fr-FR"/>
        </w:rPr>
        <w:t xml:space="preserve">DDP </w:t>
      </w:r>
      <w:proofErr w:type="spellStart"/>
      <w:r w:rsidR="002709F0">
        <w:rPr>
          <w:rFonts w:ascii="Times New Roman" w:hAnsi="Times New Roman" w:cs="Times New Roman"/>
          <w:szCs w:val="24"/>
          <w:lang w:val="fr-FR"/>
        </w:rPr>
        <w:t>tại</w:t>
      </w:r>
      <w:proofErr w:type="spellEnd"/>
      <w:r w:rsidR="002709F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709F0">
        <w:rPr>
          <w:rFonts w:ascii="Times New Roman" w:hAnsi="Times New Roman" w:cs="Times New Roman"/>
          <w:szCs w:val="24"/>
          <w:lang w:val="fr-FR"/>
        </w:rPr>
        <w:t>Doosan</w:t>
      </w:r>
      <w:proofErr w:type="spellEnd"/>
      <w:r w:rsidR="002709F0">
        <w:rPr>
          <w:rFonts w:ascii="Times New Roman" w:hAnsi="Times New Roman" w:cs="Times New Roman"/>
          <w:szCs w:val="24"/>
          <w:lang w:val="fr-FR"/>
        </w:rPr>
        <w:t xml:space="preserve"> Vina.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2709F0" w:rsidRPr="00FE3891">
        <w:rPr>
          <w:rFonts w:ascii="Times New Roman" w:hAnsi="Times New Roman" w:cs="Times New Roman"/>
          <w:b/>
          <w:szCs w:val="24"/>
          <w:u w:val="single"/>
          <w:lang w:val="fr-FR"/>
        </w:rPr>
        <w:t>15</w:t>
      </w:r>
      <w:r w:rsidRPr="00FE3891">
        <w:rPr>
          <w:rFonts w:ascii="Times New Roman" w:hAnsi="Times New Roman" w:cs="Times New Roman"/>
          <w:b/>
          <w:szCs w:val="24"/>
          <w:u w:val="single"/>
          <w:lang w:val="fr-FR"/>
        </w:rPr>
        <w:t xml:space="preserve"> </w:t>
      </w:r>
      <w:proofErr w:type="spellStart"/>
      <w:r w:rsidRPr="00FE3891">
        <w:rPr>
          <w:rFonts w:ascii="Times New Roman" w:hAnsi="Times New Roman" w:cs="Times New Roman"/>
          <w:b/>
          <w:szCs w:val="24"/>
          <w:u w:val="single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5246C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524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5246C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524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5246C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5246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5246C">
        <w:rPr>
          <w:rFonts w:ascii="Times New Roman" w:hAnsi="Times New Roman" w:cs="Times New Roman"/>
          <w:szCs w:val="24"/>
          <w:lang w:val="fr-FR"/>
        </w:rPr>
        <w:t>có</w:t>
      </w:r>
      <w:proofErr w:type="spellEnd"/>
      <w:r w:rsidR="0095246C">
        <w:rPr>
          <w:rFonts w:ascii="Times New Roman" w:hAnsi="Times New Roman" w:cs="Times New Roman"/>
          <w:szCs w:val="24"/>
          <w:lang w:val="fr-FR"/>
        </w:rPr>
        <w:t xml:space="preserve"> BL</w:t>
      </w:r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736CEF">
        <w:rPr>
          <w:sz w:val="22"/>
          <w:lang w:val="fr-FR"/>
        </w:rPr>
        <w:t>Chứng</w:t>
      </w:r>
      <w:proofErr w:type="spellEnd"/>
      <w:r w:rsidR="00736CEF">
        <w:rPr>
          <w:sz w:val="22"/>
          <w:lang w:val="fr-FR"/>
        </w:rPr>
        <w:t xml:space="preserve"> </w:t>
      </w:r>
      <w:proofErr w:type="spellStart"/>
      <w:r w:rsidR="00736CEF">
        <w:rPr>
          <w:sz w:val="22"/>
          <w:lang w:val="fr-FR"/>
        </w:rPr>
        <w:t>từ</w:t>
      </w:r>
      <w:proofErr w:type="spellEnd"/>
    </w:p>
    <w:p w:rsidR="00CE4944" w:rsidRDefault="00736CE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CO, Mill Test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Certificates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736CEF" w:rsidRPr="00736CEF" w:rsidRDefault="00736CEF" w:rsidP="00736CEF">
      <w:pPr>
        <w:rPr>
          <w:sz w:val="22"/>
          <w:szCs w:val="22"/>
          <w:lang w:val="fr-FR"/>
        </w:rPr>
      </w:pPr>
      <w:r w:rsidRPr="00736CEF">
        <w:rPr>
          <w:sz w:val="22"/>
          <w:szCs w:val="22"/>
          <w:lang w:val="fr-FR"/>
        </w:rPr>
        <w:t xml:space="preserve">4. </w:t>
      </w:r>
      <w:proofErr w:type="spellStart"/>
      <w:r w:rsidRPr="00736CEF">
        <w:rPr>
          <w:sz w:val="22"/>
          <w:szCs w:val="22"/>
          <w:lang w:val="fr-FR"/>
        </w:rPr>
        <w:t>Hiệu</w:t>
      </w:r>
      <w:proofErr w:type="spellEnd"/>
      <w:r w:rsidRPr="00736CEF">
        <w:rPr>
          <w:sz w:val="22"/>
          <w:szCs w:val="22"/>
          <w:lang w:val="fr-FR"/>
        </w:rPr>
        <w:t xml:space="preserve"> </w:t>
      </w:r>
      <w:proofErr w:type="spellStart"/>
      <w:r w:rsidRPr="00736CEF">
        <w:rPr>
          <w:sz w:val="22"/>
          <w:szCs w:val="22"/>
          <w:lang w:val="fr-FR"/>
        </w:rPr>
        <w:t>lực</w:t>
      </w:r>
      <w:proofErr w:type="spellEnd"/>
      <w:r w:rsidRPr="00736CEF">
        <w:rPr>
          <w:sz w:val="22"/>
          <w:szCs w:val="22"/>
          <w:lang w:val="fr-FR"/>
        </w:rPr>
        <w:t xml:space="preserve"> </w:t>
      </w:r>
      <w:proofErr w:type="spellStart"/>
      <w:r w:rsidRPr="00736CEF">
        <w:rPr>
          <w:sz w:val="22"/>
          <w:szCs w:val="22"/>
          <w:lang w:val="fr-FR"/>
        </w:rPr>
        <w:t>báo</w:t>
      </w:r>
      <w:proofErr w:type="spellEnd"/>
      <w:r w:rsidRPr="00736CEF">
        <w:rPr>
          <w:sz w:val="22"/>
          <w:szCs w:val="22"/>
          <w:lang w:val="fr-FR"/>
        </w:rPr>
        <w:t xml:space="preserve"> </w:t>
      </w:r>
      <w:proofErr w:type="spellStart"/>
      <w:r w:rsidRPr="00736CEF">
        <w:rPr>
          <w:sz w:val="22"/>
          <w:szCs w:val="22"/>
          <w:lang w:val="fr-FR"/>
        </w:rPr>
        <w:t>giá</w:t>
      </w:r>
      <w:proofErr w:type="spellEnd"/>
    </w:p>
    <w:p w:rsidR="00736CEF" w:rsidRPr="00736CEF" w:rsidRDefault="00736CEF" w:rsidP="0073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736CEF">
        <w:rPr>
          <w:rFonts w:ascii="Times New Roman" w:hAnsi="Times New Roman" w:cs="Times New Roman"/>
          <w:lang w:val="fr-FR"/>
        </w:rPr>
        <w:t xml:space="preserve">01 </w:t>
      </w:r>
      <w:proofErr w:type="spellStart"/>
      <w:r w:rsidRPr="00736CEF">
        <w:rPr>
          <w:rFonts w:ascii="Times New Roman" w:hAnsi="Times New Roman" w:cs="Times New Roman"/>
          <w:lang w:val="fr-FR"/>
        </w:rPr>
        <w:t>tuần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kể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từ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ngày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báo</w:t>
      </w:r>
      <w:proofErr w:type="spellEnd"/>
      <w:r w:rsidRPr="00736CE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36CEF">
        <w:rPr>
          <w:rFonts w:ascii="Times New Roman" w:hAnsi="Times New Roman" w:cs="Times New Roman"/>
          <w:lang w:val="fr-FR"/>
        </w:rPr>
        <w:t>giá</w:t>
      </w:r>
      <w:proofErr w:type="spellEnd"/>
      <w:r w:rsidRPr="00736CEF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FF3A1476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83A9F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9F0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672BD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C7BA1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36CEF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5246C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63F9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1704"/>
    <w:rsid w:val="00D73156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3891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D6026-B61A-44E9-8220-3DBCC005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6</cp:revision>
  <cp:lastPrinted>2019-04-10T11:05:00Z</cp:lastPrinted>
  <dcterms:created xsi:type="dcterms:W3CDTF">2019-04-10T07:33:00Z</dcterms:created>
  <dcterms:modified xsi:type="dcterms:W3CDTF">2019-04-10T11:05:00Z</dcterms:modified>
</cp:coreProperties>
</file>