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</w:t>
      </w:r>
      <w:r w:rsidR="00183F7A">
        <w:rPr>
          <w:i/>
        </w:rPr>
        <w:t>SVL-</w:t>
      </w:r>
      <w:proofErr w:type="spellStart"/>
      <w:r w:rsidR="00183F7A">
        <w:rPr>
          <w:i/>
        </w:rPr>
        <w:t>Vinstar</w:t>
      </w:r>
      <w:proofErr w:type="spellEnd"/>
      <w:r w:rsidR="00183F7A">
        <w:rPr>
          <w:i/>
        </w:rPr>
        <w:t>/050619</w:t>
      </w:r>
    </w:p>
    <w:p w:rsidR="0007573B" w:rsidRPr="0084623A" w:rsidRDefault="00183F7A" w:rsidP="0084623A">
      <w:pPr>
        <w:jc w:val="right"/>
        <w:rPr>
          <w:i/>
          <w:sz w:val="44"/>
        </w:rPr>
      </w:pPr>
      <w:proofErr w:type="spellStart"/>
      <w:r>
        <w:rPr>
          <w:i/>
          <w:sz w:val="22"/>
        </w:rPr>
        <w:t>Hồ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Chí</w:t>
      </w:r>
      <w:proofErr w:type="spellEnd"/>
      <w:r>
        <w:rPr>
          <w:i/>
          <w:sz w:val="22"/>
        </w:rPr>
        <w:t xml:space="preserve"> Minh</w:t>
      </w:r>
      <w:r w:rsidR="002C7C9E" w:rsidRPr="00DE67F2">
        <w:rPr>
          <w:i/>
          <w:sz w:val="22"/>
        </w:rPr>
        <w:t xml:space="preserve">, </w:t>
      </w:r>
      <w:proofErr w:type="spellStart"/>
      <w:r w:rsidR="002C7C9E" w:rsidRPr="00DE67F2">
        <w:rPr>
          <w:i/>
          <w:sz w:val="22"/>
        </w:rPr>
        <w:t>ngày</w:t>
      </w:r>
      <w:proofErr w:type="spellEnd"/>
      <w:r w:rsidR="002C7C9E" w:rsidRPr="00DE67F2">
        <w:rPr>
          <w:i/>
          <w:sz w:val="22"/>
        </w:rPr>
        <w:t xml:space="preserve"> </w:t>
      </w:r>
      <w:r w:rsidR="00690546">
        <w:rPr>
          <w:i/>
          <w:sz w:val="22"/>
        </w:rPr>
        <w:t>06</w:t>
      </w:r>
      <w:bookmarkStart w:id="0" w:name="_GoBack"/>
      <w:bookmarkEnd w:id="0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tháng</w:t>
      </w:r>
      <w:proofErr w:type="spellEnd"/>
      <w:r>
        <w:rPr>
          <w:i/>
          <w:sz w:val="22"/>
        </w:rPr>
        <w:t xml:space="preserve"> 06</w:t>
      </w:r>
      <w:r w:rsidR="00B36BCB">
        <w:rPr>
          <w:i/>
          <w:sz w:val="22"/>
        </w:rPr>
        <w:t xml:space="preserve">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7D5A66" w:rsidRPr="007D5A66">
        <w:rPr>
          <w:b/>
          <w:sz w:val="22"/>
          <w:lang w:val="pt-BR"/>
        </w:rPr>
        <w:t>CÔNG TY TNHH VINSTAR ENGINEERING SERVICES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Một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Thành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Viên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4"/>
        <w:gridCol w:w="1418"/>
        <w:gridCol w:w="1275"/>
        <w:gridCol w:w="1987"/>
        <w:gridCol w:w="991"/>
        <w:gridCol w:w="1133"/>
        <w:gridCol w:w="1135"/>
        <w:gridCol w:w="1525"/>
      </w:tblGrid>
      <w:tr w:rsidR="002E278A" w:rsidRPr="00D82EFC" w:rsidTr="002E278A">
        <w:trPr>
          <w:trHeight w:val="90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 w:rsidR="002E278A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</w:t>
            </w: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cái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Default="007D5A66" w:rsidP="007D5A66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khối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(kg)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7D5A66" w:rsidRPr="00D82EFC" w:rsidRDefault="007D5A66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cái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2E278A" w:rsidRPr="00D82EFC" w:rsidTr="002E278A">
        <w:trPr>
          <w:trHeight w:val="260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Thép</w:t>
            </w:r>
            <w:proofErr w:type="spellEnd"/>
            <w:r w:rsidRPr="007D5A66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tấm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A36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5352E1" w:rsidRDefault="007D5A66" w:rsidP="007D5A6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Trung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Quốc</w:t>
            </w:r>
            <w:proofErr w:type="spellEnd"/>
          </w:p>
        </w:tc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5A66" w:rsidRPr="00D82EFC" w:rsidRDefault="007D5A66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PL10 x 1500 x 6000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A66" w:rsidRDefault="007D5A66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4,239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2E278A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19,250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2E278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81,</w:t>
            </w:r>
            <w:r w:rsidR="002E278A">
              <w:rPr>
                <w:color w:val="000000"/>
                <w:sz w:val="20"/>
                <w:szCs w:val="22"/>
                <w:lang w:val="en-SG" w:eastAsia="en-SG"/>
              </w:rPr>
              <w:t>600,750</w:t>
            </w:r>
          </w:p>
        </w:tc>
      </w:tr>
      <w:tr w:rsidR="00D567F2" w:rsidRPr="00D82EFC" w:rsidTr="002E278A">
        <w:trPr>
          <w:trHeight w:val="260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Pr="00D82EFC" w:rsidRDefault="00D567F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Pr="007D5A66" w:rsidRDefault="00D567F2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Thép</w:t>
            </w:r>
            <w:proofErr w:type="spellEnd"/>
            <w:r w:rsidRPr="007D5A66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tấm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A36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7D5A6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Trung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Quốc</w:t>
            </w:r>
            <w:proofErr w:type="spellEnd"/>
          </w:p>
        </w:tc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D567F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PL6 x 1500 x 6000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67F2" w:rsidRDefault="00D567F2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847.8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19,250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7F2" w:rsidRDefault="00D567F2" w:rsidP="002E278A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16,320,150</w:t>
            </w:r>
          </w:p>
        </w:tc>
      </w:tr>
      <w:tr w:rsidR="002E278A" w:rsidRPr="00D82EFC" w:rsidTr="002E278A">
        <w:trPr>
          <w:trHeight w:val="551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D567F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Thép</w:t>
            </w:r>
            <w:proofErr w:type="spellEnd"/>
            <w:r w:rsidRPr="007D5A66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7D5A66">
              <w:rPr>
                <w:color w:val="000000"/>
                <w:sz w:val="20"/>
                <w:szCs w:val="22"/>
                <w:lang w:val="en-SG" w:eastAsia="en-SG"/>
              </w:rPr>
              <w:t>hình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SS400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5352E1" w:rsidRDefault="007D5A66" w:rsidP="007D5A66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Trung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Quốc</w:t>
            </w:r>
            <w:proofErr w:type="spellEnd"/>
          </w:p>
        </w:tc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5352E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U150x75x6.</w:t>
            </w:r>
            <w:r w:rsidRPr="007D5A66">
              <w:rPr>
                <w:color w:val="000000"/>
                <w:sz w:val="20"/>
                <w:szCs w:val="22"/>
                <w:lang w:val="en-SG" w:eastAsia="en-SG"/>
              </w:rPr>
              <w:t>5x10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7D5A66">
              <w:rPr>
                <w:color w:val="000000"/>
                <w:sz w:val="20"/>
                <w:szCs w:val="22"/>
                <w:lang w:val="en-SG" w:eastAsia="en-SG"/>
              </w:rPr>
              <w:t>x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7D5A66">
              <w:rPr>
                <w:color w:val="000000"/>
                <w:sz w:val="20"/>
                <w:szCs w:val="22"/>
                <w:lang w:val="en-SG" w:eastAsia="en-SG"/>
              </w:rPr>
              <w:t>12000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Pr="00D82EFC" w:rsidRDefault="007D5A66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27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A66" w:rsidRDefault="007D5A66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6,026.4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23,200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A66" w:rsidRDefault="007D5A66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139,812,480</w:t>
            </w:r>
          </w:p>
        </w:tc>
      </w:tr>
      <w:tr w:rsidR="007D5A66" w:rsidRPr="00D82EFC" w:rsidTr="002E278A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A66" w:rsidRPr="002E278A" w:rsidRDefault="007D5A66" w:rsidP="002E278A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2E278A">
              <w:rPr>
                <w:b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66" w:rsidRPr="002E278A" w:rsidRDefault="00D567F2" w:rsidP="002E278A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237,733,380</w:t>
            </w:r>
          </w:p>
        </w:tc>
      </w:tr>
      <w:tr w:rsidR="007D5A66" w:rsidRPr="00D82EFC" w:rsidTr="002E278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5A66" w:rsidRPr="00D82EFC" w:rsidRDefault="007D5A66" w:rsidP="002E278A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2E278A" w:rsidRDefault="002E278A" w:rsidP="00E83B26">
      <w:pPr>
        <w:tabs>
          <w:tab w:val="left" w:pos="5040"/>
        </w:tabs>
        <w:rPr>
          <w:b/>
          <w:sz w:val="22"/>
          <w:lang w:val="fr-FR"/>
        </w:rPr>
      </w:pP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E278A" w:rsidRPr="002E278A">
        <w:rPr>
          <w:rFonts w:ascii="Times New Roman" w:hAnsi="Times New Roman" w:cs="Times New Roman"/>
          <w:b/>
          <w:szCs w:val="24"/>
          <w:lang w:val="fr-FR"/>
        </w:rPr>
        <w:t>5-7</w:t>
      </w:r>
      <w:r w:rsidR="003056AF" w:rsidRPr="002E278A">
        <w:rPr>
          <w:rFonts w:ascii="Times New Roman" w:hAnsi="Times New Roman" w:cs="Times New Roman"/>
          <w:b/>
          <w:szCs w:val="24"/>
          <w:lang w:val="fr-FR"/>
        </w:rPr>
        <w:t xml:space="preserve"> </w:t>
      </w:r>
      <w:proofErr w:type="spellStart"/>
      <w:r w:rsidR="00935E46" w:rsidRPr="002E278A">
        <w:rPr>
          <w:rFonts w:ascii="Times New Roman" w:hAnsi="Times New Roman" w:cs="Times New Roman"/>
          <w:b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đượ</w:t>
      </w:r>
      <w:r w:rsidR="002E278A">
        <w:rPr>
          <w:rFonts w:ascii="Times New Roman" w:hAnsi="Times New Roman" w:cs="Times New Roman"/>
          <w:szCs w:val="24"/>
          <w:lang w:val="fr-FR"/>
        </w:rPr>
        <w:t>c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E278A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E278A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>;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2E278A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2E278A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2E278A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2E278A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2E278A">
        <w:rPr>
          <w:rFonts w:ascii="Times New Roman" w:hAnsi="Times New Roman" w:cs="Times New Roman"/>
          <w:i/>
          <w:szCs w:val="24"/>
          <w:lang w:val="fr-FR"/>
        </w:rPr>
        <w:t>).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B46B1F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. Thanh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trướ</w:t>
      </w:r>
      <w:r w:rsidR="002E278A">
        <w:rPr>
          <w:rFonts w:ascii="Times New Roman" w:hAnsi="Times New Roman" w:cs="Times New Roman"/>
          <w:szCs w:val="24"/>
          <w:lang w:val="fr-FR"/>
        </w:rPr>
        <w:t>c</w:t>
      </w:r>
      <w:proofErr w:type="spellEnd"/>
      <w:r w:rsidR="002E278A">
        <w:rPr>
          <w:rFonts w:ascii="Times New Roman" w:hAnsi="Times New Roman" w:cs="Times New Roman"/>
          <w:szCs w:val="24"/>
          <w:lang w:val="fr-FR"/>
        </w:rPr>
        <w:t xml:space="preserve"> 100%.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D567F2">
        <w:rPr>
          <w:rFonts w:ascii="Times New Roman" w:hAnsi="Times New Roman" w:cs="Times New Roman"/>
          <w:lang w:val="fr-FR"/>
        </w:rPr>
        <w:t>3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D567F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567F2">
        <w:rPr>
          <w:rFonts w:ascii="Times New Roman" w:hAnsi="Times New Roman" w:cs="Times New Roman"/>
          <w:lang w:val="fr-FR"/>
        </w:rPr>
        <w:t>ngày</w:t>
      </w:r>
      <w:proofErr w:type="spellEnd"/>
      <w:r w:rsidR="00D567F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567F2">
        <w:rPr>
          <w:rFonts w:ascii="Times New Roman" w:hAnsi="Times New Roman" w:cs="Times New Roman"/>
          <w:lang w:val="fr-FR"/>
        </w:rPr>
        <w:t>báo</w:t>
      </w:r>
      <w:proofErr w:type="spellEnd"/>
      <w:r w:rsidR="00D567F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567F2">
        <w:rPr>
          <w:rFonts w:ascii="Times New Roman" w:hAnsi="Times New Roman" w:cs="Times New Roman"/>
          <w:lang w:val="fr-FR"/>
        </w:rPr>
        <w:t>giá</w:t>
      </w:r>
      <w:proofErr w:type="spellEnd"/>
      <w:r w:rsidR="00D567F2">
        <w:rPr>
          <w:rFonts w:ascii="Times New Roman" w:hAnsi="Times New Roman" w:cs="Times New Roman"/>
          <w:lang w:val="fr-FR"/>
        </w:rPr>
        <w:t>;</w:t>
      </w:r>
    </w:p>
    <w:p w:rsidR="00D567F2" w:rsidRPr="00D82EFC" w:rsidRDefault="00D567F2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Giá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trên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chỉ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có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hiệu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lực</w:t>
      </w:r>
      <w:proofErr w:type="spellEnd"/>
      <w:r>
        <w:rPr>
          <w:rFonts w:ascii="Times New Roman" w:hAnsi="Times New Roman" w:cs="Times New Roman"/>
          <w:lang w:val="fr-FR"/>
        </w:rPr>
        <w:t xml:space="preserve"> khi mua </w:t>
      </w:r>
      <w:proofErr w:type="spellStart"/>
      <w:r>
        <w:rPr>
          <w:rFonts w:ascii="Times New Roman" w:hAnsi="Times New Roman" w:cs="Times New Roman"/>
          <w:lang w:val="fr-FR"/>
        </w:rPr>
        <w:t>toàn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bộ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đơn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hàng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0467"/>
    <w:rsid w:val="00152E61"/>
    <w:rsid w:val="00156821"/>
    <w:rsid w:val="0016083D"/>
    <w:rsid w:val="00162DE6"/>
    <w:rsid w:val="00172B90"/>
    <w:rsid w:val="00183F7A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78A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0546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D5A6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67F2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FDEB1-9571-4ADA-92D7-F0070A7B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5</cp:revision>
  <cp:lastPrinted>2019-06-06T09:47:00Z</cp:lastPrinted>
  <dcterms:created xsi:type="dcterms:W3CDTF">2019-06-06T09:43:00Z</dcterms:created>
  <dcterms:modified xsi:type="dcterms:W3CDTF">2019-06-06T09:54:00Z</dcterms:modified>
</cp:coreProperties>
</file>