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STATEMENT OF WORK</w:t>
      </w:r>
    </w:p>
    <w:p>
      <w:r>
        <w:rPr>
          <w:i/>
          <w:sz w:val="28"/>
        </w:rPr>
        <w:t>Master Template</w:t>
      </w:r>
    </w:p>
    <w:p/>
    <w:p>
      <w:pPr>
        <w:pStyle w:val="Heading1"/>
      </w:pPr>
      <w:r>
        <w:t>0. Cover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B3A6B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320"/>
            <w:shd w:val="clear" w:color="auto" w:fill="1B3A6B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Client Name</w:t>
            </w:r>
          </w:p>
        </w:tc>
        <w:tc>
          <w:tcPr>
            <w:tcW w:type="dxa" w:w="4320"/>
          </w:tcPr>
          <w:p>
            <w:r>
              <w:t>[Client Name]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[Project Name]</w:t>
            </w:r>
          </w:p>
        </w:tc>
      </w:tr>
      <w:tr>
        <w:tc>
          <w:tcPr>
            <w:tcW w:type="dxa" w:w="4320"/>
          </w:tcPr>
          <w:p>
            <w:r>
              <w:t>Engagement Type</w:t>
            </w:r>
          </w:p>
        </w:tc>
        <w:tc>
          <w:tcPr>
            <w:tcW w:type="dxa" w:w="4320"/>
          </w:tcPr>
          <w:p>
            <w:r>
              <w:t>[Implementation / AMS / T&amp;M / Support]</w:t>
            </w:r>
          </w:p>
        </w:tc>
      </w:tr>
      <w:tr>
        <w:tc>
          <w:tcPr>
            <w:tcW w:type="dxa" w:w="4320"/>
          </w:tcPr>
          <w:p>
            <w:r>
              <w:t>Contract ID</w:t>
            </w:r>
          </w:p>
        </w:tc>
        <w:tc>
          <w:tcPr>
            <w:tcW w:type="dxa" w:w="4320"/>
          </w:tcPr>
          <w:p>
            <w:r>
              <w:t>[Contract / SOW ID]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[Date]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[Date]</w:t>
            </w:r>
          </w:p>
        </w:tc>
      </w:tr>
      <w:tr>
        <w:tc>
          <w:tcPr>
            <w:tcW w:type="dxa" w:w="4320"/>
          </w:tcPr>
          <w:p>
            <w:r>
              <w:t>Document Version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Bristlecone Inc.</w:t>
            </w:r>
          </w:p>
        </w:tc>
      </w:tr>
      <w:tr>
        <w:tc>
          <w:tcPr>
            <w:tcW w:type="dxa" w:w="4320"/>
          </w:tcPr>
          <w:p>
            <w:r>
              <w:t>Review Status</w:t>
            </w:r>
          </w:p>
        </w:tc>
        <w:tc>
          <w:tcPr>
            <w:tcW w:type="dxa" w:w="4320"/>
          </w:tcPr>
          <w:p>
            <w:r>
              <w:t>[Draft / Final]</w:t>
            </w:r>
          </w:p>
        </w:tc>
      </w:tr>
    </w:tbl>
    <w:p/>
    <w:p>
      <w:r>
        <w:br w:type="page"/>
      </w:r>
    </w:p>
    <w:p>
      <w:pPr>
        <w:pStyle w:val="Heading1"/>
      </w:pPr>
      <w:r>
        <w:t>1. Agreement Details</w:t>
      </w:r>
    </w:p>
    <w:p>
      <w:r>
        <w:t>This Statement of Work (SOW) is entered into between [Client Name] and Bristlecone Incorporated under the [Master Services Agreement / Inbound Services Agreement] dated [Agreement Date].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B3A6B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320"/>
            <w:shd w:val="clear" w:color="auto" w:fill="1B3A6B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Contract / SOW ID</w:t>
            </w:r>
          </w:p>
        </w:tc>
        <w:tc>
          <w:tcPr>
            <w:tcW w:type="dxa" w:w="4320"/>
          </w:tcPr>
          <w:p>
            <w:r>
              <w:t>[Contract ID]</w:t>
            </w:r>
          </w:p>
        </w:tc>
      </w:tr>
      <w:tr>
        <w:tc>
          <w:tcPr>
            <w:tcW w:type="dxa" w:w="4320"/>
          </w:tcPr>
          <w:p>
            <w:r>
              <w:t>SOW Effective Date</w:t>
            </w:r>
          </w:p>
        </w:tc>
        <w:tc>
          <w:tcPr>
            <w:tcW w:type="dxa" w:w="4320"/>
          </w:tcPr>
          <w:p>
            <w:r>
              <w:t>[Date]</w:t>
            </w:r>
          </w:p>
        </w:tc>
      </w:tr>
      <w:tr>
        <w:tc>
          <w:tcPr>
            <w:tcW w:type="dxa" w:w="4320"/>
          </w:tcPr>
          <w:p>
            <w:r>
              <w:t>SOW End Date</w:t>
            </w:r>
          </w:p>
        </w:tc>
        <w:tc>
          <w:tcPr>
            <w:tcW w:type="dxa" w:w="4320"/>
          </w:tcPr>
          <w:p>
            <w:r>
              <w:t>[Date] (unless terminated or extended per the MSA)</w:t>
            </w:r>
          </w:p>
        </w:tc>
      </w:tr>
      <w:tr>
        <w:tc>
          <w:tcPr>
            <w:tcW w:type="dxa" w:w="4320"/>
          </w:tcPr>
          <w:p>
            <w:r>
              <w:t>Governing Agreement</w:t>
            </w:r>
          </w:p>
        </w:tc>
        <w:tc>
          <w:tcPr>
            <w:tcW w:type="dxa" w:w="4320"/>
          </w:tcPr>
          <w:p>
            <w:r>
              <w:t>[MSA / ISA / Consulting Agreement Name &amp; Date]</w:t>
            </w:r>
          </w:p>
        </w:tc>
      </w:tr>
      <w:tr>
        <w:tc>
          <w:tcPr>
            <w:tcW w:type="dxa" w:w="4320"/>
          </w:tcPr>
          <w:p>
            <w:r>
              <w:t>Amendment / Supersedes</w:t>
            </w:r>
          </w:p>
        </w:tc>
        <w:tc>
          <w:tcPr>
            <w:tcW w:type="dxa" w:w="4320"/>
          </w:tcPr>
          <w:p>
            <w:r>
              <w:t>[Prior Work Order / SOW reference, if applicable]</w:t>
            </w:r>
          </w:p>
        </w:tc>
      </w:tr>
      <w:tr>
        <w:tc>
          <w:tcPr>
            <w:tcW w:type="dxa" w:w="4320"/>
          </w:tcPr>
          <w:p>
            <w:r>
              <w:t>Agreement Duration</w:t>
            </w:r>
          </w:p>
        </w:tc>
        <w:tc>
          <w:tcPr>
            <w:tcW w:type="dxa" w:w="4320"/>
          </w:tcPr>
          <w:p>
            <w:r>
              <w:t>[X years, with options for extension upon mutual agreement]</w:t>
            </w:r>
          </w:p>
        </w:tc>
      </w:tr>
      <w:tr>
        <w:tc>
          <w:tcPr>
            <w:tcW w:type="dxa" w:w="4320"/>
          </w:tcPr>
          <w:p>
            <w:r>
              <w:t>Delivery Location</w:t>
            </w:r>
          </w:p>
        </w:tc>
        <w:tc>
          <w:tcPr>
            <w:tcW w:type="dxa" w:w="4320"/>
          </w:tcPr>
          <w:p>
            <w:r>
              <w:t>[On-site / Offshore / Hybrid — specify cities]</w:t>
            </w:r>
          </w:p>
        </w:tc>
      </w:tr>
    </w:tbl>
    <w:p/>
    <w:p>
      <w:pPr>
        <w:pStyle w:val="Heading1"/>
      </w:pPr>
      <w:r>
        <w:t>2. Executive Summary</w:t>
      </w:r>
    </w:p>
    <w:p>
      <w:r>
        <w:t>This Statement of Work defines the scope, responsibilities, and commercial structure for [Project Description]. The engagement includes:</w:t>
      </w:r>
    </w:p>
    <w:p>
      <w:pPr>
        <w:pStyle w:val="ListBullet"/>
      </w:pPr>
      <w:r>
        <w:t>Primary objective 1</w:t>
      </w:r>
    </w:p>
    <w:p>
      <w:pPr>
        <w:pStyle w:val="ListBullet"/>
      </w:pPr>
      <w:r>
        <w:t>Primary objective 2</w:t>
      </w:r>
    </w:p>
    <w:p>
      <w:pPr>
        <w:pStyle w:val="ListBullet"/>
      </w:pPr>
      <w:r>
        <w:t>Primary objective 3</w:t>
      </w:r>
    </w:p>
    <w:p>
      <w:r>
        <w:t>Several critical design and scope decisions are deferred to the [Pre-Project / Executive Alignment] phase. These are documented in Section 10 (Key Assumptions) and Section 21 (Key Observations).</w:t>
      </w:r>
    </w:p>
    <w:p>
      <w:pPr>
        <w:pStyle w:val="Heading1"/>
      </w:pPr>
      <w:r>
        <w:t>3. Project Overview</w:t>
      </w:r>
    </w:p>
    <w:p>
      <w:pPr>
        <w:pStyle w:val="Heading2"/>
      </w:pPr>
      <w:r>
        <w:t>3.1 Background</w:t>
      </w:r>
    </w:p>
    <w:p>
      <w:r>
        <w:t>[Describe the client's current state, pain points, and the business drivers for this engagement.]</w:t>
      </w:r>
    </w:p>
    <w:p>
      <w:pPr>
        <w:pStyle w:val="Heading2"/>
      </w:pPr>
      <w:r>
        <w:t>3.2 Objectives</w:t>
      </w:r>
    </w:p>
    <w:p>
      <w:pPr>
        <w:pStyle w:val="ListBullet"/>
      </w:pPr>
      <w:r>
        <w:t>Meet [Client]'s current and future business needs</w:t>
      </w:r>
    </w:p>
    <w:p>
      <w:pPr>
        <w:pStyle w:val="ListBullet"/>
      </w:pPr>
      <w:r>
        <w:t>Leverage advanced [technology/platform] capabilities</w:t>
      </w:r>
    </w:p>
    <w:p>
      <w:pPr>
        <w:pStyle w:val="ListBullet"/>
      </w:pPr>
      <w:r>
        <w:t>Create a scalable and maintainable solution</w:t>
      </w:r>
    </w:p>
    <w:p>
      <w:pPr>
        <w:pStyle w:val="ListBullet"/>
      </w:pPr>
      <w:r>
        <w:t>Enable native integration between [System A] and [System B]</w:t>
      </w:r>
    </w:p>
    <w:p>
      <w:pPr>
        <w:pStyle w:val="Heading2"/>
      </w:pPr>
      <w:r>
        <w:t>3.3 Indicative To-Be Process Flow</w:t>
      </w:r>
    </w:p>
    <w:p>
      <w:r>
        <w:t>[Provide a high-level target (To-Be) process flow post-implementation. Intended to give stakeholders a conceptual understanding of how the solution will operate after deployment.]</w:t>
      </w:r>
    </w:p>
    <w:p>
      <w:pPr>
        <w:pStyle w:val="Heading1"/>
      </w:pPr>
      <w:r>
        <w:t>4. Scope of Work</w:t>
      </w:r>
    </w:p>
    <w:p>
      <w:pPr>
        <w:pStyle w:val="Heading2"/>
      </w:pPr>
      <w:r>
        <w:t>4.1 Geographical Scope</w:t>
      </w:r>
    </w:p>
    <w:p>
      <w:r>
        <w:t>[List regions/countries in scope, e.g. APAC, EMEA, NASA.]</w:t>
      </w:r>
    </w:p>
    <w:p>
      <w:pPr>
        <w:pStyle w:val="Heading2"/>
      </w:pPr>
      <w:r>
        <w:t>4.2 Process Scope</w:t>
      </w:r>
    </w:p>
    <w:p>
      <w:r>
        <w:t>[Describe the business processes in scope (e.g. transportation modes, planning cycles, procurement flows).]</w:t>
      </w:r>
    </w:p>
    <w:p>
      <w:pPr>
        <w:pStyle w:val="Heading2"/>
      </w:pPr>
      <w:r>
        <w:t>4.3 Technical Scope</w:t>
      </w:r>
    </w:p>
    <w:p>
      <w:r>
        <w:t>[Cover ABAP developments, UI/Fiori developments, integrations, and platform components.]</w:t>
      </w:r>
    </w:p>
    <w:p>
      <w:pPr>
        <w:pStyle w:val="Heading2"/>
      </w:pPr>
      <w:r>
        <w:t>4.4 Services Scope</w:t>
      </w:r>
    </w:p>
    <w:p>
      <w:r>
        <w:t>[Include program management, solution design, agile delivery, testing, deployment, hypercare, and OCM.]</w:t>
      </w:r>
    </w:p>
    <w:p>
      <w:pPr>
        <w:pStyle w:val="Heading2"/>
      </w:pPr>
      <w:r>
        <w:t>4.5 Application Scope</w:t>
      </w:r>
    </w:p>
    <w:p>
      <w:r>
        <w:t>[List application functionalities in scope (e.g. order management, planning, settlement, analytics).]</w:t>
      </w:r>
    </w:p>
    <w:p>
      <w:pPr>
        <w:pStyle w:val="Heading2"/>
      </w:pPr>
      <w:r>
        <w:t>4.6 Integration Scope</w:t>
      </w:r>
    </w:p>
    <w:p>
      <w:r>
        <w:t>[List all system-to-system integrations in scope with source and target systems.]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B3A6B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val="clear" w:color="auto" w:fill="1B3A6B"/>
          </w:tcPr>
          <w:p>
            <w:r>
              <w:rPr>
                <w:b/>
                <w:color w:val="FFFFFF"/>
              </w:rPr>
              <w:t>Integration</w:t>
            </w:r>
          </w:p>
        </w:tc>
        <w:tc>
          <w:tcPr>
            <w:tcW w:type="dxa" w:w="1728"/>
            <w:shd w:val="clear" w:color="auto" w:fill="1B3A6B"/>
          </w:tcPr>
          <w:p>
            <w:r>
              <w:rPr>
                <w:b/>
                <w:color w:val="FFFFFF"/>
              </w:rPr>
              <w:t>Source System</w:t>
            </w:r>
          </w:p>
        </w:tc>
        <w:tc>
          <w:tcPr>
            <w:tcW w:type="dxa" w:w="1728"/>
            <w:shd w:val="clear" w:color="auto" w:fill="1B3A6B"/>
          </w:tcPr>
          <w:p>
            <w:r>
              <w:rPr>
                <w:b/>
                <w:color w:val="FFFFFF"/>
              </w:rPr>
              <w:t>Target System</w:t>
            </w:r>
          </w:p>
        </w:tc>
        <w:tc>
          <w:tcPr>
            <w:tcW w:type="dxa" w:w="1728"/>
            <w:shd w:val="clear" w:color="auto" w:fill="1B3A6B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[Integration Name]</w:t>
            </w:r>
          </w:p>
        </w:tc>
        <w:tc>
          <w:tcPr>
            <w:tcW w:type="dxa" w:w="1728"/>
          </w:tcPr>
          <w:p>
            <w:r>
              <w:t>[Source]</w:t>
            </w:r>
          </w:p>
        </w:tc>
        <w:tc>
          <w:tcPr>
            <w:tcW w:type="dxa" w:w="1728"/>
          </w:tcPr>
          <w:p>
            <w:r>
              <w:t>[Target]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[Integration Name]</w:t>
            </w:r>
          </w:p>
        </w:tc>
        <w:tc>
          <w:tcPr>
            <w:tcW w:type="dxa" w:w="1728"/>
          </w:tcPr>
          <w:p>
            <w:r>
              <w:t>[Source]</w:t>
            </w:r>
          </w:p>
        </w:tc>
        <w:tc>
          <w:tcPr>
            <w:tcW w:type="dxa" w:w="1728"/>
          </w:tcPr>
          <w:p>
            <w:r>
              <w:t>[Target]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4.7 Exclusions</w:t>
      </w:r>
    </w:p>
    <w:p>
      <w:r>
        <w:t>[Explicitly list what is NOT in scope to prevent scope creep.]</w:t>
      </w:r>
    </w:p>
    <w:p>
      <w:pPr>
        <w:pStyle w:val="ListBullet"/>
      </w:pPr>
      <w:r>
        <w:t>Server procurement and IT infrastructure setup</w:t>
      </w:r>
    </w:p>
    <w:p>
      <w:pPr>
        <w:pStyle w:val="ListBullet"/>
      </w:pPr>
      <w:r>
        <w:t>SOX audit activities</w:t>
      </w:r>
    </w:p>
    <w:p>
      <w:pPr>
        <w:pStyle w:val="ListBullet"/>
      </w:pPr>
      <w:r>
        <w:t>Archiving setup</w:t>
      </w:r>
    </w:p>
    <w:p>
      <w:pPr>
        <w:pStyle w:val="ListBullet"/>
      </w:pPr>
      <w:r>
        <w:t>Integrations not explicitly listed in Section 4.6</w:t>
      </w:r>
    </w:p>
    <w:p>
      <w:pPr>
        <w:pStyle w:val="Heading1"/>
      </w:pPr>
      <w:r>
        <w:t>5. Proposed Architecture</w:t>
      </w:r>
    </w:p>
    <w:p>
      <w:r>
        <w:t>[Describe the proposed solution architecture, deployment model (e.g. RISE with SAP, PCE, on-premise), and governance structure for managing changes.]</w:t>
      </w:r>
    </w:p>
    <w:p>
      <w:pPr>
        <w:pStyle w:val="Heading1"/>
      </w:pPr>
      <w:r>
        <w:t>6. Solution Implementation Approach &amp; Project Plan</w:t>
      </w:r>
    </w:p>
    <w:p>
      <w:pPr>
        <w:pStyle w:val="Heading2"/>
      </w:pPr>
      <w:r>
        <w:t>6.1 Implementation Methodology</w:t>
      </w:r>
    </w:p>
    <w:p>
      <w:r>
        <w:t>[Describe the delivery methodology (e.g. Agile/Scrum, Waterfall, Fit-to-Standard assessment).]</w:t>
      </w:r>
    </w:p>
    <w:p>
      <w:pPr>
        <w:pStyle w:val="Heading2"/>
      </w:pPr>
      <w:r>
        <w:t>6.2 Project Phases / Releases</w:t>
      </w:r>
    </w:p>
    <w:p>
      <w:r>
        <w:t>The project will follow a staggered go-live approach with the following phases: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B3A6B"/>
          </w:tcPr>
          <w:p>
            <w:r>
              <w:rPr>
                <w:b/>
                <w:color w:val="FFFFFF"/>
              </w:rPr>
              <w:t>Phase / Release</w:t>
            </w:r>
          </w:p>
        </w:tc>
        <w:tc>
          <w:tcPr>
            <w:tcW w:type="dxa" w:w="1728"/>
            <w:shd w:val="clear" w:color="auto" w:fill="1B3A6B"/>
          </w:tcPr>
          <w:p>
            <w:r>
              <w:rPr>
                <w:b/>
                <w:color w:val="FFFFFF"/>
              </w:rPr>
              <w:t>Scope / Modules</w:t>
            </w:r>
          </w:p>
        </w:tc>
        <w:tc>
          <w:tcPr>
            <w:tcW w:type="dxa" w:w="1728"/>
            <w:shd w:val="clear" w:color="auto" w:fill="1B3A6B"/>
          </w:tcPr>
          <w:p>
            <w:r>
              <w:rPr>
                <w:b/>
                <w:color w:val="FFFFFF"/>
              </w:rPr>
              <w:t>Regions</w:t>
            </w:r>
          </w:p>
        </w:tc>
        <w:tc>
          <w:tcPr>
            <w:tcW w:type="dxa" w:w="1728"/>
            <w:shd w:val="clear" w:color="auto" w:fill="1B3A6B"/>
          </w:tcPr>
          <w:p>
            <w:r>
              <w:rPr>
                <w:b/>
                <w:color w:val="FFFFFF"/>
              </w:rPr>
              <w:t>Indicative Timeline</w:t>
            </w:r>
          </w:p>
        </w:tc>
        <w:tc>
          <w:tcPr>
            <w:tcW w:type="dxa" w:w="1728"/>
            <w:shd w:val="clear" w:color="auto" w:fill="1B3A6B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Phase 1 / Release 1</w:t>
            </w:r>
          </w:p>
        </w:tc>
        <w:tc>
          <w:tcPr>
            <w:tcW w:type="dxa" w:w="1728"/>
          </w:tcPr>
          <w:p>
            <w:r>
              <w:t>[Scope]</w:t>
            </w:r>
          </w:p>
        </w:tc>
        <w:tc>
          <w:tcPr>
            <w:tcW w:type="dxa" w:w="1728"/>
          </w:tcPr>
          <w:p>
            <w:r>
              <w:t>[Regions]</w:t>
            </w:r>
          </w:p>
        </w:tc>
        <w:tc>
          <w:tcPr>
            <w:tcW w:type="dxa" w:w="1728"/>
          </w:tcPr>
          <w:p>
            <w:r>
              <w:t>[Date Range]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</w:tr>
      <w:tr>
        <w:tc>
          <w:tcPr>
            <w:tcW w:type="dxa" w:w="1728"/>
          </w:tcPr>
          <w:p>
            <w:r>
              <w:t>Phase 2 / Release 2</w:t>
            </w:r>
          </w:p>
        </w:tc>
        <w:tc>
          <w:tcPr>
            <w:tcW w:type="dxa" w:w="1728"/>
          </w:tcPr>
          <w:p>
            <w:r>
              <w:t>[Scope]</w:t>
            </w:r>
          </w:p>
        </w:tc>
        <w:tc>
          <w:tcPr>
            <w:tcW w:type="dxa" w:w="1728"/>
          </w:tcPr>
          <w:p>
            <w:r>
              <w:t>[Regions]</w:t>
            </w:r>
          </w:p>
        </w:tc>
        <w:tc>
          <w:tcPr>
            <w:tcW w:type="dxa" w:w="1728"/>
          </w:tcPr>
          <w:p>
            <w:r>
              <w:t>[Date Range]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</w:tr>
      <w:tr>
        <w:tc>
          <w:tcPr>
            <w:tcW w:type="dxa" w:w="1728"/>
          </w:tcPr>
          <w:p>
            <w:r>
              <w:t>Phase 3 / Release 3</w:t>
            </w:r>
          </w:p>
        </w:tc>
        <w:tc>
          <w:tcPr>
            <w:tcW w:type="dxa" w:w="1728"/>
          </w:tcPr>
          <w:p>
            <w:r>
              <w:t>[Scope]</w:t>
            </w:r>
          </w:p>
        </w:tc>
        <w:tc>
          <w:tcPr>
            <w:tcW w:type="dxa" w:w="1728"/>
          </w:tcPr>
          <w:p>
            <w:r>
              <w:t>[Regions]</w:t>
            </w:r>
          </w:p>
        </w:tc>
        <w:tc>
          <w:tcPr>
            <w:tcW w:type="dxa" w:w="1728"/>
          </w:tcPr>
          <w:p>
            <w:r>
              <w:t>[Date Range]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</w:tr>
      <w:tr>
        <w:tc>
          <w:tcPr>
            <w:tcW w:type="dxa" w:w="1728"/>
          </w:tcPr>
          <w:p>
            <w:r>
              <w:t>Phase 4 / Release 4</w:t>
            </w:r>
          </w:p>
        </w:tc>
        <w:tc>
          <w:tcPr>
            <w:tcW w:type="dxa" w:w="1728"/>
          </w:tcPr>
          <w:p>
            <w:r>
              <w:t>[Scope]</w:t>
            </w:r>
          </w:p>
        </w:tc>
        <w:tc>
          <w:tcPr>
            <w:tcW w:type="dxa" w:w="1728"/>
          </w:tcPr>
          <w:p>
            <w:r>
              <w:t>[Regions]</w:t>
            </w:r>
          </w:p>
        </w:tc>
        <w:tc>
          <w:tcPr>
            <w:tcW w:type="dxa" w:w="1728"/>
          </w:tcPr>
          <w:p>
            <w:r>
              <w:t>[Date Range]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</w:tr>
    </w:tbl>
    <w:p/>
    <w:p>
      <w:pPr>
        <w:pStyle w:val="Heading1"/>
      </w:pPr>
      <w:r>
        <w:t>7. Project Management</w:t>
      </w:r>
    </w:p>
    <w:p>
      <w:pPr>
        <w:pStyle w:val="Heading2"/>
      </w:pPr>
      <w:r>
        <w:t>7.1 Governance Model</w:t>
      </w:r>
    </w:p>
    <w:p>
      <w:r>
        <w:t>[Define the project governance and oversight model including steering committee, project boards, and escalation paths.]</w:t>
      </w:r>
    </w:p>
    <w:p>
      <w:pPr>
        <w:pStyle w:val="Heading2"/>
      </w:pPr>
      <w:r>
        <w:t>7.2 Roles &amp;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B3A6B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160"/>
            <w:shd w:val="clear" w:color="auto" w:fill="1B3A6B"/>
          </w:tcPr>
          <w:p>
            <w:r>
              <w:rPr>
                <w:b/>
                <w:color w:val="FFFFFF"/>
              </w:rPr>
              <w:t>Party</w:t>
            </w:r>
          </w:p>
        </w:tc>
        <w:tc>
          <w:tcPr>
            <w:tcW w:type="dxa" w:w="2160"/>
            <w:shd w:val="clear" w:color="auto" w:fill="1B3A6B"/>
          </w:tcPr>
          <w:p>
            <w:r>
              <w:rPr>
                <w:b/>
                <w:color w:val="FFFFFF"/>
              </w:rPr>
              <w:t>Location</w:t>
            </w:r>
          </w:p>
        </w:tc>
        <w:tc>
          <w:tcPr>
            <w:tcW w:type="dxa" w:w="2160"/>
            <w:shd w:val="clear" w:color="auto" w:fill="1B3A6B"/>
          </w:tcPr>
          <w:p>
            <w:r>
              <w:rPr>
                <w:b/>
                <w:color w:val="FFFFFF"/>
              </w:rPr>
              <w:t>Responsibilities</w:t>
            </w:r>
          </w:p>
        </w:tc>
      </w:tr>
      <w:tr>
        <w:tc>
          <w:tcPr>
            <w:tcW w:type="dxa" w:w="2160"/>
          </w:tcPr>
          <w:p>
            <w:r>
              <w:t>Program Manager</w:t>
            </w:r>
          </w:p>
        </w:tc>
        <w:tc>
          <w:tcPr>
            <w:tcW w:type="dxa" w:w="2160"/>
          </w:tcPr>
          <w:p>
            <w:r>
              <w:t>Bristlecone</w:t>
            </w:r>
          </w:p>
        </w:tc>
        <w:tc>
          <w:tcPr>
            <w:tcW w:type="dxa" w:w="2160"/>
          </w:tcPr>
          <w:p>
            <w:r>
              <w:t>[On-site / Offshore]</w:t>
            </w:r>
          </w:p>
        </w:tc>
        <w:tc>
          <w:tcPr>
            <w:tcW w:type="dxa" w:w="2160"/>
          </w:tcPr>
          <w:p>
            <w:r>
              <w:t>Oversees delivery, coordinates activities, ensures training and compliance</w:t>
            </w:r>
          </w:p>
        </w:tc>
      </w:tr>
      <w:tr>
        <w:tc>
          <w:tcPr>
            <w:tcW w:type="dxa" w:w="2160"/>
          </w:tcPr>
          <w:p>
            <w:r>
              <w:t>Delivery Manager</w:t>
            </w:r>
          </w:p>
        </w:tc>
        <w:tc>
          <w:tcPr>
            <w:tcW w:type="dxa" w:w="2160"/>
          </w:tcPr>
          <w:p>
            <w:r>
              <w:t>Bristlecone</w:t>
            </w:r>
          </w:p>
        </w:tc>
        <w:tc>
          <w:tcPr>
            <w:tcW w:type="dxa" w:w="2160"/>
          </w:tcPr>
          <w:p>
            <w:r>
              <w:t>[Offshore]</w:t>
            </w:r>
          </w:p>
        </w:tc>
        <w:tc>
          <w:tcPr>
            <w:tcW w:type="dxa" w:w="2160"/>
          </w:tcPr>
          <w:p>
            <w:r>
              <w:t>Manages offshore resources, ensures quality and compliance</w:t>
            </w:r>
          </w:p>
        </w:tc>
      </w:tr>
      <w:tr>
        <w:tc>
          <w:tcPr>
            <w:tcW w:type="dxa" w:w="2160"/>
          </w:tcPr>
          <w:p>
            <w:r>
              <w:t>Solution Architect</w:t>
            </w:r>
          </w:p>
        </w:tc>
        <w:tc>
          <w:tcPr>
            <w:tcW w:type="dxa" w:w="2160"/>
          </w:tcPr>
          <w:p>
            <w:r>
              <w:t>Bristlecone</w:t>
            </w:r>
          </w:p>
        </w:tc>
        <w:tc>
          <w:tcPr>
            <w:tcW w:type="dxa" w:w="2160"/>
          </w:tcPr>
          <w:p>
            <w:r>
              <w:t>[On-site / Offshore]</w:t>
            </w:r>
          </w:p>
        </w:tc>
        <w:tc>
          <w:tcPr>
            <w:tcW w:type="dxa" w:w="2160"/>
          </w:tcPr>
          <w:p>
            <w:r>
              <w:t>Owns technical design and architecture decisions</w:t>
            </w:r>
          </w:p>
        </w:tc>
      </w:tr>
      <w:tr>
        <w:tc>
          <w:tcPr>
            <w:tcW w:type="dxa" w:w="2160"/>
          </w:tcPr>
          <w:p>
            <w:r>
              <w:t>Project Manager</w:t>
            </w:r>
          </w:p>
        </w:tc>
        <w:tc>
          <w:tcPr>
            <w:tcW w:type="dxa" w:w="2160"/>
          </w:tcPr>
          <w:p>
            <w:r>
              <w:t>[Client]</w:t>
            </w:r>
          </w:p>
        </w:tc>
        <w:tc>
          <w:tcPr>
            <w:tcW w:type="dxa" w:w="2160"/>
          </w:tcPr>
          <w:p>
            <w:r>
              <w:t>[On-site]</w:t>
            </w:r>
          </w:p>
        </w:tc>
        <w:tc>
          <w:tcPr>
            <w:tcW w:type="dxa" w:w="2160"/>
          </w:tcPr>
          <w:p>
            <w:r>
              <w:t>Client-side coordination, approvals, and stakeholder management</w:t>
            </w:r>
          </w:p>
        </w:tc>
      </w:tr>
      <w:tr>
        <w:tc>
          <w:tcPr>
            <w:tcW w:type="dxa" w:w="2160"/>
          </w:tcPr>
          <w:p>
            <w:r>
              <w:t>Consultants</w:t>
            </w:r>
          </w:p>
        </w:tc>
        <w:tc>
          <w:tcPr>
            <w:tcW w:type="dxa" w:w="2160"/>
          </w:tcPr>
          <w:p>
            <w:r>
              <w:t>Bristlecone</w:t>
            </w:r>
          </w:p>
        </w:tc>
        <w:tc>
          <w:tcPr>
            <w:tcW w:type="dxa" w:w="2160"/>
          </w:tcPr>
          <w:p>
            <w:r>
              <w:t>[Offshore]</w:t>
            </w:r>
          </w:p>
        </w:tc>
        <w:tc>
          <w:tcPr>
            <w:tcW w:type="dxa" w:w="2160"/>
          </w:tcPr>
          <w:p>
            <w:r>
              <w:t>Delivery, testing, configuration, customer communication</w:t>
            </w:r>
          </w:p>
        </w:tc>
      </w:tr>
    </w:tbl>
    <w:p/>
    <w:p>
      <w:pPr>
        <w:pStyle w:val="Heading2"/>
      </w:pPr>
      <w:r>
        <w:t>7.3 Work Schedule</w:t>
      </w:r>
    </w:p>
    <w:p>
      <w:pPr>
        <w:pStyle w:val="ListBullet"/>
      </w:pPr>
      <w:r>
        <w:t>On-site consultants follow [Client] working hours and local holiday calendars</w:t>
      </w:r>
    </w:p>
    <w:p>
      <w:pPr>
        <w:pStyle w:val="ListBullet"/>
      </w:pPr>
      <w:r>
        <w:t>Offshore teams work standard India hours with defined overlap windows for meetings</w:t>
      </w:r>
    </w:p>
    <w:p>
      <w:pPr>
        <w:pStyle w:val="ListBullet"/>
      </w:pPr>
      <w:r>
        <w:t>Shift allowance applies for work outside standard hours per Section 13.3</w:t>
      </w:r>
    </w:p>
    <w:p>
      <w:pPr>
        <w:pStyle w:val="Heading1"/>
      </w:pPr>
      <w:r>
        <w:t>8. Personnel Requirements</w:t>
      </w:r>
    </w:p>
    <w:p>
      <w:r>
        <w:t>All Bristlecone consultants assigned to this engagement must meet the following baseline requirements:</w:t>
      </w:r>
    </w:p>
    <w:p>
      <w:pPr>
        <w:pStyle w:val="ListBullet"/>
      </w:pPr>
      <w:r>
        <w:t>English language proficiency (written and spoken)</w:t>
      </w:r>
    </w:p>
    <w:p>
      <w:pPr>
        <w:pStyle w:val="ListBullet"/>
      </w:pPr>
      <w:r>
        <w:t>Background in [Computer Science / Engineering / relevant domain]</w:t>
      </w:r>
    </w:p>
    <w:p>
      <w:pPr>
        <w:pStyle w:val="ListBullet"/>
      </w:pPr>
      <w:r>
        <w:t>Familiarity with [supply chain / ERP / domain-specific] principles</w:t>
      </w:r>
    </w:p>
    <w:p>
      <w:pPr>
        <w:pStyle w:val="ListBullet"/>
      </w:pPr>
      <w:r>
        <w:t>Knowledge of relevant file formats and standards (e.g. XML, JSON, EDI)</w:t>
      </w:r>
    </w:p>
    <w:p>
      <w:pPr>
        <w:pStyle w:val="ListBullet"/>
      </w:pPr>
      <w:r>
        <w:t>Experience with [Agile / JIT / SDLC] methodologies</w:t>
      </w:r>
    </w:p>
    <w:p>
      <w:pPr>
        <w:pStyle w:val="ListBullet"/>
      </w:pPr>
      <w:r>
        <w:t>Role-specific certifications as listed in Appendix B</w:t>
      </w:r>
    </w:p>
    <w:p>
      <w:pPr>
        <w:pStyle w:val="Heading1"/>
      </w:pPr>
      <w:r>
        <w:t>9. Key Deliverables</w:t>
      </w:r>
    </w:p>
    <w:p>
      <w:r>
        <w:t>Only deliverables explicitly described in this SOW are listed below. Where dates are not confirmed, they are marked with a placeholder.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B3A6B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440"/>
            <w:shd w:val="clear" w:color="auto" w:fill="1B3A6B"/>
          </w:tcPr>
          <w:p>
            <w:r>
              <w:rPr>
                <w:b/>
                <w:color w:val="FFFFFF"/>
              </w:rPr>
              <w:t>Deliverable</w:t>
            </w:r>
          </w:p>
        </w:tc>
        <w:tc>
          <w:tcPr>
            <w:tcW w:type="dxa" w:w="1440"/>
            <w:shd w:val="clear" w:color="auto" w:fill="1B3A6B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440"/>
            <w:shd w:val="clear" w:color="auto" w:fill="1B3A6B"/>
          </w:tcPr>
          <w:p>
            <w:r>
              <w:rPr>
                <w:b/>
                <w:color w:val="FFFFFF"/>
              </w:rPr>
              <w:t>Responsible Party</w:t>
            </w:r>
          </w:p>
        </w:tc>
        <w:tc>
          <w:tcPr>
            <w:tcW w:type="dxa" w:w="1440"/>
            <w:shd w:val="clear" w:color="auto" w:fill="1B3A6B"/>
          </w:tcPr>
          <w:p>
            <w:r>
              <w:rPr>
                <w:b/>
                <w:color w:val="FFFFFF"/>
              </w:rPr>
              <w:t>Due Date</w:t>
            </w:r>
          </w:p>
        </w:tc>
        <w:tc>
          <w:tcPr>
            <w:tcW w:type="dxa" w:w="1440"/>
            <w:shd w:val="clear" w:color="auto" w:fill="1B3A6B"/>
          </w:tcPr>
          <w:p>
            <w:r>
              <w:rPr>
                <w:b/>
                <w:color w:val="FFFFFF"/>
              </w:rPr>
              <w:t>Acceptance Criteria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[Deliverable Name]</w:t>
            </w:r>
          </w:p>
        </w:tc>
        <w:tc>
          <w:tcPr>
            <w:tcW w:type="dxa" w:w="1440"/>
          </w:tcPr>
          <w:p>
            <w:r>
              <w:t>[Description]</w:t>
            </w:r>
          </w:p>
        </w:tc>
        <w:tc>
          <w:tcPr>
            <w:tcW w:type="dxa" w:w="1440"/>
          </w:tcPr>
          <w:p>
            <w:r>
              <w:t>Bristlecone</w:t>
            </w:r>
          </w:p>
        </w:tc>
        <w:tc>
          <w:tcPr>
            <w:tcW w:type="dxa" w:w="1440"/>
          </w:tcPr>
          <w:p>
            <w:r>
              <w:t>[Date]</w:t>
            </w:r>
          </w:p>
        </w:tc>
        <w:tc>
          <w:tcPr>
            <w:tcW w:type="dxa" w:w="1440"/>
          </w:tcPr>
          <w:p>
            <w:r>
              <w:t>[Criteria]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[Deliverable Name]</w:t>
            </w:r>
          </w:p>
        </w:tc>
        <w:tc>
          <w:tcPr>
            <w:tcW w:type="dxa" w:w="1440"/>
          </w:tcPr>
          <w:p>
            <w:r>
              <w:t>[Description]</w:t>
            </w:r>
          </w:p>
        </w:tc>
        <w:tc>
          <w:tcPr>
            <w:tcW w:type="dxa" w:w="1440"/>
          </w:tcPr>
          <w:p>
            <w:r>
              <w:t>Bristlecone</w:t>
            </w:r>
          </w:p>
        </w:tc>
        <w:tc>
          <w:tcPr>
            <w:tcW w:type="dxa" w:w="1440"/>
          </w:tcPr>
          <w:p>
            <w:r>
              <w:t>[Date]</w:t>
            </w:r>
          </w:p>
        </w:tc>
        <w:tc>
          <w:tcPr>
            <w:tcW w:type="dxa" w:w="1440"/>
          </w:tcPr>
          <w:p>
            <w:r>
              <w:t>[Criteria]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[Deliverable Name]</w:t>
            </w:r>
          </w:p>
        </w:tc>
        <w:tc>
          <w:tcPr>
            <w:tcW w:type="dxa" w:w="1440"/>
          </w:tcPr>
          <w:p>
            <w:r>
              <w:t>[Description]</w:t>
            </w:r>
          </w:p>
        </w:tc>
        <w:tc>
          <w:tcPr>
            <w:tcW w:type="dxa" w:w="1440"/>
          </w:tcPr>
          <w:p>
            <w:r>
              <w:t>[Client]</w:t>
            </w:r>
          </w:p>
        </w:tc>
        <w:tc>
          <w:tcPr>
            <w:tcW w:type="dxa" w:w="1440"/>
          </w:tcPr>
          <w:p>
            <w:r>
              <w:t>[Date]</w:t>
            </w:r>
          </w:p>
        </w:tc>
        <w:tc>
          <w:tcPr>
            <w:tcW w:type="dxa" w:w="1440"/>
          </w:tcPr>
          <w:p>
            <w:r>
              <w:t>[Criteria]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[Deliverable Name]</w:t>
            </w:r>
          </w:p>
        </w:tc>
        <w:tc>
          <w:tcPr>
            <w:tcW w:type="dxa" w:w="1440"/>
          </w:tcPr>
          <w:p>
            <w:r>
              <w:t>[Description]</w:t>
            </w:r>
          </w:p>
        </w:tc>
        <w:tc>
          <w:tcPr>
            <w:tcW w:type="dxa" w:w="1440"/>
          </w:tcPr>
          <w:p>
            <w:r>
              <w:t>Bristlecone</w:t>
            </w:r>
          </w:p>
        </w:tc>
        <w:tc>
          <w:tcPr>
            <w:tcW w:type="dxa" w:w="1440"/>
          </w:tcPr>
          <w:p>
            <w:r>
              <w:t>[Date]</w:t>
            </w:r>
          </w:p>
        </w:tc>
        <w:tc>
          <w:tcPr>
            <w:tcW w:type="dxa" w:w="1440"/>
          </w:tcPr>
          <w:p>
            <w:r>
              <w:t>[Criteria]</w:t>
            </w:r>
          </w:p>
        </w:tc>
      </w:tr>
    </w:tbl>
    <w:p/>
    <w:p>
      <w:pPr>
        <w:pStyle w:val="Heading1"/>
      </w:pPr>
      <w:r>
        <w:t>10. Key Assumptions</w:t>
      </w:r>
    </w:p>
    <w:p>
      <w:r>
        <w:t>This SOW is based on the following assumptions. Deviations from these assumptions may trigger scope, timeline, or commercial adjustments via the Change Management Process (Section 17).</w:t>
      </w:r>
    </w:p>
    <w:p>
      <w:pPr>
        <w:pStyle w:val="ListBullet"/>
      </w:pPr>
      <w:r>
        <w:t>[Client] will provide timely access to systems, data, and subject matter experts</w:t>
      </w:r>
    </w:p>
    <w:p>
      <w:pPr>
        <w:pStyle w:val="ListBullet"/>
      </w:pPr>
      <w:r>
        <w:t>Existing infrastructure meets the minimum technical prerequisites defined in Appendix A</w:t>
      </w:r>
    </w:p>
    <w:p>
      <w:pPr>
        <w:pStyle w:val="ListBullet"/>
      </w:pPr>
      <w:r>
        <w:t>Custom objects estimated at [X] with ~[Y]% expected to require remediation</w:t>
      </w:r>
    </w:p>
    <w:p>
      <w:pPr>
        <w:pStyle w:val="ListBullet"/>
      </w:pPr>
      <w:r>
        <w:t>Integration count is based on [X] interfaces; scope may expand subject to change control</w:t>
      </w:r>
    </w:p>
    <w:p>
      <w:pPr>
        <w:pStyle w:val="ListBullet"/>
      </w:pPr>
      <w:r>
        <w:t>[Specific technology/platform decision] is confirmed prior to project kick-off</w:t>
      </w:r>
    </w:p>
    <w:p>
      <w:pPr>
        <w:pStyle w:val="ListBullet"/>
      </w:pPr>
      <w:r>
        <w:t>Client resources will be available for the agreed review and sign-off windows</w:t>
      </w:r>
    </w:p>
    <w:p>
      <w:pPr>
        <w:pStyle w:val="Heading1"/>
      </w:pPr>
      <w:r>
        <w:t>11. Acceptance Criteria</w:t>
      </w:r>
    </w:p>
    <w:p>
      <w:r>
        <w:t>Deliverables will be considered accepted when the following criteria are met: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B3A6B"/>
          </w:tcPr>
          <w:p>
            <w:r>
              <w:rPr>
                <w:b/>
                <w:color w:val="FFFFFF"/>
              </w:rPr>
              <w:t>Phase / Deliverable</w:t>
            </w:r>
          </w:p>
        </w:tc>
        <w:tc>
          <w:tcPr>
            <w:tcW w:type="dxa" w:w="2160"/>
            <w:shd w:val="clear" w:color="auto" w:fill="1B3A6B"/>
          </w:tcPr>
          <w:p>
            <w:r>
              <w:rPr>
                <w:b/>
                <w:color w:val="FFFFFF"/>
              </w:rPr>
              <w:t>Acceptance Criteria</w:t>
            </w:r>
          </w:p>
        </w:tc>
        <w:tc>
          <w:tcPr>
            <w:tcW w:type="dxa" w:w="2160"/>
            <w:shd w:val="clear" w:color="auto" w:fill="1B3A6B"/>
          </w:tcPr>
          <w:p>
            <w:r>
              <w:rPr>
                <w:b/>
                <w:color w:val="FFFFFF"/>
              </w:rPr>
              <w:t>Sign-off Party</w:t>
            </w:r>
          </w:p>
        </w:tc>
        <w:tc>
          <w:tcPr>
            <w:tcW w:type="dxa" w:w="2160"/>
            <w:shd w:val="clear" w:color="auto" w:fill="1B3A6B"/>
          </w:tcPr>
          <w:p>
            <w:r>
              <w:rPr>
                <w:b/>
                <w:color w:val="FFFFFF"/>
              </w:rPr>
              <w:t>Timeline for Review</w:t>
            </w:r>
          </w:p>
        </w:tc>
      </w:tr>
      <w:tr>
        <w:tc>
          <w:tcPr>
            <w:tcW w:type="dxa" w:w="2160"/>
          </w:tcPr>
          <w:p>
            <w:r>
              <w:t>[Phase / Deliverable]</w:t>
            </w:r>
          </w:p>
        </w:tc>
        <w:tc>
          <w:tcPr>
            <w:tcW w:type="dxa" w:w="2160"/>
          </w:tcPr>
          <w:p>
            <w:r>
              <w:t>[Objective, measurable criteria — not solely discretionary]</w:t>
            </w:r>
          </w:p>
        </w:tc>
        <w:tc>
          <w:tcPr>
            <w:tcW w:type="dxa" w:w="2160"/>
          </w:tcPr>
          <w:p>
            <w:r>
              <w:t>[Client Stakeholder]</w:t>
            </w:r>
          </w:p>
        </w:tc>
        <w:tc>
          <w:tcPr>
            <w:tcW w:type="dxa" w:w="2160"/>
          </w:tcPr>
          <w:p>
            <w:r>
              <w:t>[X business days]</w:t>
            </w:r>
          </w:p>
        </w:tc>
      </w:tr>
      <w:tr>
        <w:tc>
          <w:tcPr>
            <w:tcW w:type="dxa" w:w="2160"/>
          </w:tcPr>
          <w:p>
            <w:r>
              <w:t>[Phase / Deliverable]</w:t>
            </w:r>
          </w:p>
        </w:tc>
        <w:tc>
          <w:tcPr>
            <w:tcW w:type="dxa" w:w="2160"/>
          </w:tcPr>
          <w:p>
            <w:r>
              <w:t>[Criteria]</w:t>
            </w:r>
          </w:p>
        </w:tc>
        <w:tc>
          <w:tcPr>
            <w:tcW w:type="dxa" w:w="2160"/>
          </w:tcPr>
          <w:p>
            <w:r>
              <w:t>[Stakeholder]</w:t>
            </w:r>
          </w:p>
        </w:tc>
        <w:tc>
          <w:tcPr>
            <w:tcW w:type="dxa" w:w="2160"/>
          </w:tcPr>
          <w:p>
            <w:r>
              <w:t>[X business days]</w:t>
            </w:r>
          </w:p>
        </w:tc>
      </w:tr>
      <w:tr>
        <w:tc>
          <w:tcPr>
            <w:tcW w:type="dxa" w:w="2160"/>
          </w:tcPr>
          <w:p>
            <w:r>
              <w:t>[Phase / Deliverable]</w:t>
            </w:r>
          </w:p>
        </w:tc>
        <w:tc>
          <w:tcPr>
            <w:tcW w:type="dxa" w:w="2160"/>
          </w:tcPr>
          <w:p>
            <w:r>
              <w:t>[Criteria]</w:t>
            </w:r>
          </w:p>
        </w:tc>
        <w:tc>
          <w:tcPr>
            <w:tcW w:type="dxa" w:w="2160"/>
          </w:tcPr>
          <w:p>
            <w:r>
              <w:t>[Stakeholder]</w:t>
            </w:r>
          </w:p>
        </w:tc>
        <w:tc>
          <w:tcPr>
            <w:tcW w:type="dxa" w:w="2160"/>
          </w:tcPr>
          <w:p>
            <w:r>
              <w:t>[X business days]</w:t>
            </w:r>
          </w:p>
        </w:tc>
      </w:tr>
    </w:tbl>
    <w:p/>
    <w:p>
      <w:pPr>
        <w:pStyle w:val="Heading1"/>
      </w:pPr>
      <w:r>
        <w:t>12. Obligations</w:t>
      </w:r>
    </w:p>
    <w:p>
      <w:pPr>
        <w:pStyle w:val="Heading2"/>
      </w:pPr>
      <w:r>
        <w:t>12.1 Bristlecone Obligations</w:t>
      </w:r>
    </w:p>
    <w:p>
      <w:pPr>
        <w:pStyle w:val="ListBullet"/>
      </w:pPr>
      <w:r>
        <w:t>Deliver services as described in Section 4 (Scope of Work) within the agreed timelines</w:t>
      </w:r>
    </w:p>
    <w:p>
      <w:pPr>
        <w:pStyle w:val="ListBullet"/>
      </w:pPr>
      <w:r>
        <w:t>Assign qualified resources meeting the personnel requirements in Section 8</w:t>
      </w:r>
    </w:p>
    <w:p>
      <w:pPr>
        <w:pStyle w:val="ListBullet"/>
      </w:pPr>
      <w:r>
        <w:t>Provide regular status reports and participate in governance meetings</w:t>
      </w:r>
    </w:p>
    <w:p>
      <w:pPr>
        <w:pStyle w:val="ListBullet"/>
      </w:pPr>
      <w:r>
        <w:t>Escalate risks and issues proactively per the governance model</w:t>
      </w:r>
    </w:p>
    <w:p>
      <w:pPr>
        <w:pStyle w:val="ListBullet"/>
      </w:pPr>
      <w:r>
        <w:t>Ensure all personnel comply with [Client]'s security and confidentiality requirements</w:t>
      </w:r>
    </w:p>
    <w:p>
      <w:pPr>
        <w:pStyle w:val="ListBullet"/>
      </w:pPr>
      <w:r>
        <w:t>Submit Change Requests for any work outside agreed scope</w:t>
      </w:r>
    </w:p>
    <w:p>
      <w:pPr>
        <w:pStyle w:val="Heading2"/>
      </w:pPr>
      <w:r>
        <w:t>12.2 Client Obligations</w:t>
      </w:r>
    </w:p>
    <w:p>
      <w:pPr>
        <w:pStyle w:val="ListBullet"/>
      </w:pPr>
      <w:r>
        <w:t>Provide timely access to systems, environments, and data required for delivery</w:t>
      </w:r>
    </w:p>
    <w:p>
      <w:pPr>
        <w:pStyle w:val="ListBullet"/>
      </w:pPr>
      <w:r>
        <w:t>Assign a dedicated Project Manager and relevant SMEs for the duration of the engagement</w:t>
      </w:r>
    </w:p>
    <w:p>
      <w:pPr>
        <w:pStyle w:val="ListBullet"/>
      </w:pPr>
      <w:r>
        <w:t>Review and approve deliverables within the timelines defined in Section 11</w:t>
      </w:r>
    </w:p>
    <w:p>
      <w:pPr>
        <w:pStyle w:val="ListBullet"/>
      </w:pPr>
      <w:r>
        <w:t>Make key business decisions (especially deferred scope decisions) within agreed timelines</w:t>
      </w:r>
    </w:p>
    <w:p>
      <w:pPr>
        <w:pStyle w:val="ListBullet"/>
      </w:pPr>
      <w:r>
        <w:t>Manage internal change management and business readiness activities</w:t>
      </w:r>
    </w:p>
    <w:p>
      <w:pPr>
        <w:pStyle w:val="ListBullet"/>
      </w:pPr>
      <w:r>
        <w:t>Reimburse approved travel and expenses per Section 13.4</w:t>
      </w:r>
    </w:p>
    <w:p>
      <w:pPr>
        <w:pStyle w:val="Heading1"/>
      </w:pPr>
      <w:r>
        <w:t>13. Commercials</w:t>
      </w:r>
    </w:p>
    <w:p>
      <w:pPr>
        <w:pStyle w:val="Heading2"/>
      </w:pPr>
      <w:r>
        <w:t>13.1 Engagement Model</w:t>
      </w:r>
    </w:p>
    <w:p>
      <w:r>
        <w:t>[Specify Fixed Price / Time &amp; Material / Fixed Monthly / AMS retainer.]</w:t>
      </w:r>
    </w:p>
    <w:p>
      <w:pPr>
        <w:pStyle w:val="Heading2"/>
      </w:pPr>
      <w:r>
        <w:t>13.2 Rate Card &amp; Pyramid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B3A6B"/>
          </w:tcPr>
          <w:p>
            <w:r>
              <w:rPr>
                <w:b/>
                <w:color w:val="FFFFFF"/>
              </w:rPr>
              <w:t>Role / Band</w:t>
            </w:r>
          </w:p>
        </w:tc>
        <w:tc>
          <w:tcPr>
            <w:tcW w:type="dxa" w:w="1440"/>
            <w:shd w:val="clear" w:color="auto" w:fill="1B3A6B"/>
          </w:tcPr>
          <w:p>
            <w:r>
              <w:rPr>
                <w:b/>
                <w:color w:val="FFFFFF"/>
              </w:rPr>
              <w:t>Location</w:t>
            </w:r>
          </w:p>
        </w:tc>
        <w:tc>
          <w:tcPr>
            <w:tcW w:type="dxa" w:w="1440"/>
            <w:shd w:val="clear" w:color="auto" w:fill="1B3A6B"/>
          </w:tcPr>
          <w:p>
            <w:r>
              <w:rPr>
                <w:b/>
                <w:color w:val="FFFFFF"/>
              </w:rPr>
              <w:t>Rate (USD/day)</w:t>
            </w:r>
          </w:p>
        </w:tc>
        <w:tc>
          <w:tcPr>
            <w:tcW w:type="dxa" w:w="1440"/>
            <w:shd w:val="clear" w:color="auto" w:fill="1B3A6B"/>
          </w:tcPr>
          <w:p>
            <w:r>
              <w:rPr>
                <w:b/>
                <w:color w:val="FFFFFF"/>
              </w:rPr>
              <w:t>Rate Type</w:t>
            </w:r>
          </w:p>
        </w:tc>
        <w:tc>
          <w:tcPr>
            <w:tcW w:type="dxa" w:w="1440"/>
            <w:shd w:val="clear" w:color="auto" w:fill="1B3A6B"/>
          </w:tcPr>
          <w:p>
            <w:r>
              <w:rPr>
                <w:b/>
                <w:color w:val="FFFFFF"/>
              </w:rPr>
              <w:t>Effective Date</w:t>
            </w:r>
          </w:p>
        </w:tc>
        <w:tc>
          <w:tcPr>
            <w:tcW w:type="dxa" w:w="1440"/>
            <w:shd w:val="clear" w:color="auto" w:fill="1B3A6B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t>[Role / L1]</w:t>
            </w:r>
          </w:p>
        </w:tc>
        <w:tc>
          <w:tcPr>
            <w:tcW w:type="dxa" w:w="1440"/>
          </w:tcPr>
          <w:p>
            <w:r>
              <w:t>[Offshore]</w:t>
            </w:r>
          </w:p>
        </w:tc>
        <w:tc>
          <w:tcPr>
            <w:tcW w:type="dxa" w:w="1440"/>
          </w:tcPr>
          <w:p>
            <w:r>
              <w:t>[Rate]</w:t>
            </w:r>
          </w:p>
        </w:tc>
        <w:tc>
          <w:tcPr>
            <w:tcW w:type="dxa" w:w="1440"/>
          </w:tcPr>
          <w:p>
            <w:r>
              <w:t>[Carry-over / Addition]</w:t>
            </w:r>
          </w:p>
        </w:tc>
        <w:tc>
          <w:tcPr>
            <w:tcW w:type="dxa" w:w="1440"/>
          </w:tcPr>
          <w:p>
            <w:r>
              <w:t>[Date]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[Role / L2]</w:t>
            </w:r>
          </w:p>
        </w:tc>
        <w:tc>
          <w:tcPr>
            <w:tcW w:type="dxa" w:w="1440"/>
          </w:tcPr>
          <w:p>
            <w:r>
              <w:t>[Offshore]</w:t>
            </w:r>
          </w:p>
        </w:tc>
        <w:tc>
          <w:tcPr>
            <w:tcW w:type="dxa" w:w="1440"/>
          </w:tcPr>
          <w:p>
            <w:r>
              <w:t>[Rate]</w:t>
            </w:r>
          </w:p>
        </w:tc>
        <w:tc>
          <w:tcPr>
            <w:tcW w:type="dxa" w:w="1440"/>
          </w:tcPr>
          <w:p>
            <w:r>
              <w:t>[Carry-over / Addition]</w:t>
            </w:r>
          </w:p>
        </w:tc>
        <w:tc>
          <w:tcPr>
            <w:tcW w:type="dxa" w:w="1440"/>
          </w:tcPr>
          <w:p>
            <w:r>
              <w:t>[Date]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[Role / Onsite]</w:t>
            </w:r>
          </w:p>
        </w:tc>
        <w:tc>
          <w:tcPr>
            <w:tcW w:type="dxa" w:w="1440"/>
          </w:tcPr>
          <w:p>
            <w:r>
              <w:t>[On-site]</w:t>
            </w:r>
          </w:p>
        </w:tc>
        <w:tc>
          <w:tcPr>
            <w:tcW w:type="dxa" w:w="1440"/>
          </w:tcPr>
          <w:p>
            <w:r>
              <w:t>[Rate]</w:t>
            </w:r>
          </w:p>
        </w:tc>
        <w:tc>
          <w:tcPr>
            <w:tcW w:type="dxa" w:w="1440"/>
          </w:tcPr>
          <w:p>
            <w:r>
              <w:t>[Carry-over / Addition]</w:t>
            </w:r>
          </w:p>
        </w:tc>
        <w:tc>
          <w:tcPr>
            <w:tcW w:type="dxa" w:w="1440"/>
          </w:tcPr>
          <w:p>
            <w:r>
              <w:t>[Date]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[Manager]</w:t>
            </w:r>
          </w:p>
        </w:tc>
        <w:tc>
          <w:tcPr>
            <w:tcW w:type="dxa" w:w="1440"/>
          </w:tcPr>
          <w:p>
            <w:r>
              <w:t>[On-site / Offshore]</w:t>
            </w:r>
          </w:p>
        </w:tc>
        <w:tc>
          <w:tcPr>
            <w:tcW w:type="dxa" w:w="1440"/>
          </w:tcPr>
          <w:p>
            <w:r>
              <w:t>[Rate]</w:t>
            </w:r>
          </w:p>
        </w:tc>
        <w:tc>
          <w:tcPr>
            <w:tcW w:type="dxa" w:w="1440"/>
          </w:tcPr>
          <w:p>
            <w:r>
              <w:t>[Addition]</w:t>
            </w:r>
          </w:p>
        </w:tc>
        <w:tc>
          <w:tcPr>
            <w:tcW w:type="dxa" w:w="1440"/>
          </w:tcPr>
          <w:p>
            <w:r>
              <w:t>[Date]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r>
        <w:t>Rates increase by [X]% annually starting [Date].</w:t>
      </w:r>
    </w:p>
    <w:p>
      <w:pPr>
        <w:pStyle w:val="Heading2"/>
      </w:pPr>
      <w:r>
        <w:t>13.3 Shift Allowance</w:t>
      </w:r>
    </w:p>
    <w:p>
      <w:pPr>
        <w:pStyle w:val="ListBullet"/>
      </w:pPr>
      <w:r>
        <w:t>Evening shift: +$[X] per day</w:t>
      </w:r>
    </w:p>
    <w:p>
      <w:pPr>
        <w:pStyle w:val="ListBullet"/>
      </w:pPr>
      <w:r>
        <w:t>Night shift: +$[X] per day</w:t>
      </w:r>
    </w:p>
    <w:p>
      <w:pPr>
        <w:pStyle w:val="ListBullet"/>
      </w:pPr>
      <w:r>
        <w:t>Weekend / public holiday: as per mutually agreed rates</w:t>
      </w:r>
    </w:p>
    <w:p>
      <w:pPr>
        <w:pStyle w:val="Heading2"/>
      </w:pPr>
      <w:r>
        <w:t>13.4 Travel &amp; Expenses</w:t>
      </w:r>
    </w:p>
    <w:p>
      <w:r>
        <w:t>[Client] will reimburse Bristlecone for reasonable, pre-approved business travel expenses. All expenses must be submitted within [30] days of incurrence with supporting documentation.</w:t>
      </w:r>
    </w:p>
    <w:p>
      <w:pPr>
        <w:pStyle w:val="Heading2"/>
      </w:pPr>
      <w:r>
        <w:t>13.5 Invoicing &amp; Payment Terms</w:t>
      </w:r>
    </w:p>
    <w:p>
      <w:r>
        <w:t>[Specify invoice frequency, payment milestone linkage, and payment terms (e.g. Net 30).]</w:t>
      </w:r>
    </w:p>
    <w:p>
      <w:pPr>
        <w:pStyle w:val="Heading1"/>
      </w:pPr>
      <w:r>
        <w:t>14. Performance Reporting &amp; KPIs</w:t>
      </w:r>
    </w:p>
    <w:p>
      <w:r>
        <w:t>Bristlecone will provide the following performance reports for review by the Governance Team: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B3A6B"/>
          </w:tcPr>
          <w:p>
            <w:r>
              <w:rPr>
                <w:b/>
                <w:color w:val="FFFFFF"/>
              </w:rPr>
              <w:t>Report</w:t>
            </w:r>
          </w:p>
        </w:tc>
        <w:tc>
          <w:tcPr>
            <w:tcW w:type="dxa" w:w="2160"/>
            <w:shd w:val="clear" w:color="auto" w:fill="1B3A6B"/>
          </w:tcPr>
          <w:p>
            <w:r>
              <w:rPr>
                <w:b/>
                <w:color w:val="FFFFFF"/>
              </w:rPr>
              <w:t>Frequency</w:t>
            </w:r>
          </w:p>
        </w:tc>
        <w:tc>
          <w:tcPr>
            <w:tcW w:type="dxa" w:w="2160"/>
            <w:shd w:val="clear" w:color="auto" w:fill="1B3A6B"/>
          </w:tcPr>
          <w:p>
            <w:r>
              <w:rPr>
                <w:b/>
                <w:color w:val="FFFFFF"/>
              </w:rPr>
              <w:t>Recipients</w:t>
            </w:r>
          </w:p>
        </w:tc>
        <w:tc>
          <w:tcPr>
            <w:tcW w:type="dxa" w:w="2160"/>
            <w:shd w:val="clear" w:color="auto" w:fill="1B3A6B"/>
          </w:tcPr>
          <w:p>
            <w:r>
              <w:rPr>
                <w:b/>
                <w:color w:val="FFFFFF"/>
              </w:rPr>
              <w:t>Key Metrics</w:t>
            </w:r>
          </w:p>
        </w:tc>
      </w:tr>
      <w:tr>
        <w:tc>
          <w:tcPr>
            <w:tcW w:type="dxa" w:w="2160"/>
          </w:tcPr>
          <w:p>
            <w:r>
              <w:t>Weekly Status Report</w:t>
            </w:r>
          </w:p>
        </w:tc>
        <w:tc>
          <w:tcPr>
            <w:tcW w:type="dxa" w:w="2160"/>
          </w:tcPr>
          <w:p>
            <w:r>
              <w:t>Weekly</w:t>
            </w:r>
          </w:p>
        </w:tc>
        <w:tc>
          <w:tcPr>
            <w:tcW w:type="dxa" w:w="2160"/>
          </w:tcPr>
          <w:p>
            <w:r>
              <w:t>Project Manager, Delivery Manager</w:t>
            </w:r>
          </w:p>
        </w:tc>
        <w:tc>
          <w:tcPr>
            <w:tcW w:type="dxa" w:w="2160"/>
          </w:tcPr>
          <w:p>
            <w:r>
              <w:t>Progress, risks, actions, blockers</w:t>
            </w:r>
          </w:p>
        </w:tc>
      </w:tr>
      <w:tr>
        <w:tc>
          <w:tcPr>
            <w:tcW w:type="dxa" w:w="2160"/>
          </w:tcPr>
          <w:p>
            <w:r>
              <w:t>Utilization Report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Governance Team</w:t>
            </w:r>
          </w:p>
        </w:tc>
        <w:tc>
          <w:tcPr>
            <w:tcW w:type="dxa" w:w="2160"/>
          </w:tcPr>
          <w:p>
            <w:r>
              <w:t>Utilization %, throughput, cost per work unit</w:t>
            </w:r>
          </w:p>
        </w:tc>
      </w:tr>
      <w:tr>
        <w:tc>
          <w:tcPr>
            <w:tcW w:type="dxa" w:w="2160"/>
          </w:tcPr>
          <w:p>
            <w:r>
              <w:t>Quality Report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Governance Team</w:t>
            </w:r>
          </w:p>
        </w:tc>
        <w:tc>
          <w:tcPr>
            <w:tcW w:type="dxa" w:w="2160"/>
          </w:tcPr>
          <w:p>
            <w:r>
              <w:t>Defect rate, SLA adherence, test pass rate</w:t>
            </w:r>
          </w:p>
        </w:tc>
      </w:tr>
      <w:tr>
        <w:tc>
          <w:tcPr>
            <w:tcW w:type="dxa" w:w="2160"/>
          </w:tcPr>
          <w:p>
            <w:r>
              <w:t>Financial Report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Client Finance, Bristlecone Finance</w:t>
            </w:r>
          </w:p>
        </w:tc>
        <w:tc>
          <w:tcPr>
            <w:tcW w:type="dxa" w:w="2160"/>
          </w:tcPr>
          <w:p>
            <w:r>
              <w:t>Actuals vs. budget, burn rate, forecast</w:t>
            </w:r>
          </w:p>
        </w:tc>
      </w:tr>
      <w:tr>
        <w:tc>
          <w:tcPr>
            <w:tcW w:type="dxa" w:w="2160"/>
          </w:tcPr>
          <w:p>
            <w:r>
              <w:t>Executive Summary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Steering Committee</w:t>
            </w:r>
          </w:p>
        </w:tc>
        <w:tc>
          <w:tcPr>
            <w:tcW w:type="dxa" w:w="2160"/>
          </w:tcPr>
          <w:p>
            <w:r>
              <w:t>Milestones, RAG status, decisions needed</w:t>
            </w:r>
          </w:p>
        </w:tc>
      </w:tr>
    </w:tbl>
    <w:p/>
    <w:p>
      <w:pPr>
        <w:pStyle w:val="Heading2"/>
      </w:pPr>
      <w:r>
        <w:t>14.1 SLAs &amp; Targets</w:t>
      </w:r>
    </w:p>
    <w:p>
      <w:r>
        <w:t>[Define measurable SLA thresholds (e.g. response time, resolution time, uptime %). Clearly mark as Not Applicable if this is an implementation-only engagement.]</w:t>
      </w:r>
    </w:p>
    <w:p>
      <w:pPr>
        <w:pStyle w:val="Heading1"/>
      </w:pPr>
      <w:r>
        <w:t>15. Risks</w:t>
      </w:r>
    </w:p>
    <w:p>
      <w:r>
        <w:t>Risks are managed via the Change Management Process (Section 17). Key project risks identified at SOW stage: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B3A6B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val="clear" w:color="auto" w:fill="1B3A6B"/>
          </w:tcPr>
          <w:p>
            <w:r>
              <w:rPr>
                <w:b/>
                <w:color w:val="FFFFFF"/>
              </w:rPr>
              <w:t>Risk Description</w:t>
            </w:r>
          </w:p>
        </w:tc>
        <w:tc>
          <w:tcPr>
            <w:tcW w:type="dxa" w:w="1728"/>
            <w:shd w:val="clear" w:color="auto" w:fill="1B3A6B"/>
          </w:tcPr>
          <w:p>
            <w:r>
              <w:rPr>
                <w:b/>
                <w:color w:val="FFFFFF"/>
              </w:rPr>
              <w:t>Likelihood</w:t>
            </w:r>
          </w:p>
        </w:tc>
        <w:tc>
          <w:tcPr>
            <w:tcW w:type="dxa" w:w="1728"/>
            <w:shd w:val="clear" w:color="auto" w:fill="1B3A6B"/>
          </w:tcPr>
          <w:p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1728"/>
            <w:shd w:val="clear" w:color="auto" w:fill="1B3A6B"/>
          </w:tcPr>
          <w:p>
            <w:r>
              <w:rPr>
                <w:b/>
                <w:color w:val="FFFFFF"/>
              </w:rPr>
              <w:t>Mitigation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Deferred scope decisions causing timeline overrun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Freeze decisions before kick-off; define escalation path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Custom code / integration count exceeds estimates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Unit-based pricing or cap mechanism; formal change control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Key client SME unavailability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Agree resource commitment upfront; document in obligations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Client acceptance criteria not objective / measurable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Define acceptance criteria per deliverable before phase start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[Add project-specific risk]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1"/>
      </w:pPr>
      <w:r>
        <w:t>16. Governance &amp; Risk Mitigation</w:t>
      </w:r>
    </w:p>
    <w:p>
      <w:pPr>
        <w:pStyle w:val="Heading2"/>
      </w:pPr>
      <w:r>
        <w:t>16.1 Milestone Deliverables Matrix</w:t>
      </w:r>
    </w:p>
    <w:p>
      <w:r>
        <w:t>Each phase is mapped to tangible deliverables, acceptance criteria, and payment milestones. See Section 9 (Key Deliverables) and Section 13 (Commercials).</w:t>
      </w:r>
    </w:p>
    <w:p>
      <w:pPr>
        <w:pStyle w:val="Heading2"/>
      </w:pPr>
      <w:r>
        <w:t>16.2 Deferred Scope Decisions</w:t>
      </w:r>
    </w:p>
    <w:p>
      <w:r>
        <w:t>The following scope decisions are deferred to the Pre-Project / Executive Alignment phase. Cost and timeline impact must be documented before project kick-off:</w:t>
      </w:r>
    </w:p>
    <w:p>
      <w:pPr>
        <w:pStyle w:val="ListBullet"/>
      </w:pPr>
      <w:r>
        <w:t>[Decision 1]</w:t>
      </w:r>
    </w:p>
    <w:p>
      <w:pPr>
        <w:pStyle w:val="ListBullet"/>
      </w:pPr>
      <w:r>
        <w:t>[Decision 2]</w:t>
      </w:r>
    </w:p>
    <w:p>
      <w:pPr>
        <w:pStyle w:val="ListBullet"/>
      </w:pPr>
      <w:r>
        <w:t>[Decision 3]</w:t>
      </w:r>
    </w:p>
    <w:p>
      <w:pPr>
        <w:pStyle w:val="Heading2"/>
      </w:pPr>
      <w:r>
        <w:t>16.3 Integration &amp; Custom Code Safeguards</w:t>
      </w:r>
    </w:p>
    <w:p>
      <w:pPr>
        <w:pStyle w:val="ListBullet"/>
      </w:pPr>
      <w:r>
        <w:t>Introduce unit-based pricing or caps for integrations beyond the baseline of [X]</w:t>
      </w:r>
    </w:p>
    <w:p>
      <w:pPr>
        <w:pStyle w:val="ListBullet"/>
      </w:pPr>
      <w:r>
        <w:t>Cap custom object remediation at [X] objects; beyond that, formal change request required</w:t>
      </w:r>
    </w:p>
    <w:p>
      <w:pPr>
        <w:pStyle w:val="Heading2"/>
      </w:pPr>
      <w:r>
        <w:t>16.4 Change Control</w:t>
      </w:r>
    </w:p>
    <w:p>
      <w:r>
        <w:t>All scope growth — technical or functional — follows the formal Change Request process defined in Section 17.</w:t>
      </w:r>
    </w:p>
    <w:p>
      <w:pPr>
        <w:pStyle w:val="Heading1"/>
      </w:pPr>
      <w:r>
        <w:t>17. Change Management Process</w:t>
      </w:r>
    </w:p>
    <w:p>
      <w:r>
        <w:t>Any changes to scope, timeline, commercials, or resources must follow this process: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B3A6B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160"/>
            <w:shd w:val="clear" w:color="auto" w:fill="1B3A6B"/>
          </w:tcPr>
          <w:p>
            <w:r>
              <w:rPr>
                <w:b/>
                <w:color w:val="FFFFFF"/>
              </w:rPr>
              <w:t>Activity</w:t>
            </w:r>
          </w:p>
        </w:tc>
        <w:tc>
          <w:tcPr>
            <w:tcW w:type="dxa" w:w="2160"/>
            <w:shd w:val="clear" w:color="auto" w:fill="1B3A6B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160"/>
            <w:shd w:val="clear" w:color="auto" w:fill="1B3A6B"/>
          </w:tcPr>
          <w:p>
            <w:r>
              <w:rPr>
                <w:b/>
                <w:color w:val="FFFFFF"/>
              </w:rPr>
              <w:t>Timeline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Change Request (CR) raised by either party</w:t>
            </w:r>
          </w:p>
        </w:tc>
        <w:tc>
          <w:tcPr>
            <w:tcW w:type="dxa" w:w="2160"/>
          </w:tcPr>
          <w:p>
            <w:r>
              <w:t>Requestor</w:t>
            </w:r>
          </w:p>
        </w:tc>
        <w:tc>
          <w:tcPr>
            <w:tcW w:type="dxa" w:w="2160"/>
          </w:tcPr>
          <w:p>
            <w:r>
              <w:t>As needed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CR logged and assigned a tracking ID</w:t>
            </w:r>
          </w:p>
        </w:tc>
        <w:tc>
          <w:tcPr>
            <w:tcW w:type="dxa" w:w="2160"/>
          </w:tcPr>
          <w:p>
            <w:r>
              <w:t>Project Manager</w:t>
            </w:r>
          </w:p>
        </w:tc>
        <w:tc>
          <w:tcPr>
            <w:tcW w:type="dxa" w:w="2160"/>
          </w:tcPr>
          <w:p>
            <w:r>
              <w:t>Within 1 business day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Impact assessment — scope, cost, timeline</w:t>
            </w:r>
          </w:p>
        </w:tc>
        <w:tc>
          <w:tcPr>
            <w:tcW w:type="dxa" w:w="2160"/>
          </w:tcPr>
          <w:p>
            <w:r>
              <w:t>Bristlecone</w:t>
            </w:r>
          </w:p>
        </w:tc>
        <w:tc>
          <w:tcPr>
            <w:tcW w:type="dxa" w:w="2160"/>
          </w:tcPr>
          <w:p>
            <w:r>
              <w:t>Within [X] business days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CR reviewed and approved / rejected</w:t>
            </w:r>
          </w:p>
        </w:tc>
        <w:tc>
          <w:tcPr>
            <w:tcW w:type="dxa" w:w="2160"/>
          </w:tcPr>
          <w:p>
            <w:r>
              <w:t>Governance Team</w:t>
            </w:r>
          </w:p>
        </w:tc>
        <w:tc>
          <w:tcPr>
            <w:tcW w:type="dxa" w:w="2160"/>
          </w:tcPr>
          <w:p>
            <w:r>
              <w:t>Within [X] business days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SOW amendment or addendum issued if approved</w:t>
            </w:r>
          </w:p>
        </w:tc>
        <w:tc>
          <w:tcPr>
            <w:tcW w:type="dxa" w:w="2160"/>
          </w:tcPr>
          <w:p>
            <w:r>
              <w:t>Both Parties</w:t>
            </w:r>
          </w:p>
        </w:tc>
        <w:tc>
          <w:tcPr>
            <w:tcW w:type="dxa" w:w="2160"/>
          </w:tcPr>
          <w:p>
            <w:r>
              <w:t>Before work begins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CR closure and documentation</w:t>
            </w:r>
          </w:p>
        </w:tc>
        <w:tc>
          <w:tcPr>
            <w:tcW w:type="dxa" w:w="2160"/>
          </w:tcPr>
          <w:p>
            <w:r>
              <w:t>Project Manager</w:t>
            </w:r>
          </w:p>
        </w:tc>
        <w:tc>
          <w:tcPr>
            <w:tcW w:type="dxa" w:w="2160"/>
          </w:tcPr>
          <w:p>
            <w:r>
              <w:t>Upon completion</w:t>
            </w:r>
          </w:p>
        </w:tc>
      </w:tr>
    </w:tbl>
    <w:p/>
    <w:p>
      <w:pPr>
        <w:pStyle w:val="Heading1"/>
      </w:pPr>
      <w:r>
        <w:t>18. Security &amp; Data Protection</w:t>
      </w:r>
    </w:p>
    <w:p>
      <w:pPr>
        <w:pStyle w:val="ListBullet"/>
      </w:pPr>
      <w:r>
        <w:t>All Bristlecone-managed equipment must have up-to-date OS patches and antivirus software</w:t>
      </w:r>
    </w:p>
    <w:p>
      <w:pPr>
        <w:pStyle w:val="ListBullet"/>
      </w:pPr>
      <w:r>
        <w:t>[Client] confidential information must be encrypted in transit and at rest</w:t>
      </w:r>
    </w:p>
    <w:p>
      <w:pPr>
        <w:pStyle w:val="ListBullet"/>
      </w:pPr>
      <w:r>
        <w:t>Access to client systems must follow the principle of least privilege</w:t>
      </w:r>
    </w:p>
    <w:p>
      <w:pPr>
        <w:pStyle w:val="ListBullet"/>
      </w:pPr>
      <w:r>
        <w:t>Bristlecone personnel must comply with [Client]'s information security policy</w:t>
      </w:r>
    </w:p>
    <w:p>
      <w:pPr>
        <w:pStyle w:val="ListBullet"/>
      </w:pPr>
      <w:r>
        <w:t>Security incidents must be reported to [Client] within [X] hours of detection</w:t>
      </w:r>
    </w:p>
    <w:p>
      <w:pPr>
        <w:pStyle w:val="ListBullet"/>
      </w:pPr>
      <w:r>
        <w:t>Data handling must comply with applicable regulations (e.g. GDPR, SOC2, ISO 27001)</w:t>
      </w:r>
    </w:p>
    <w:p>
      <w:pPr>
        <w:pStyle w:val="Heading1"/>
      </w:pPr>
      <w:r>
        <w:t>19. Termination</w:t>
      </w:r>
    </w:p>
    <w:p>
      <w:pPr>
        <w:pStyle w:val="Heading2"/>
      </w:pPr>
      <w:r>
        <w:t>19.1 Termination for Convenience</w:t>
      </w:r>
    </w:p>
    <w:p>
      <w:r>
        <w:t>Either party may terminate this SOW by providing [12 months'] written notice to the other party.</w:t>
      </w:r>
    </w:p>
    <w:p>
      <w:pPr>
        <w:pStyle w:val="Heading2"/>
      </w:pPr>
      <w:r>
        <w:t>19.2 Termination for Cause</w:t>
      </w:r>
    </w:p>
    <w:p>
      <w:r>
        <w:t>Either party may terminate this SOW immediately upon written notice if the other party:</w:t>
      </w:r>
    </w:p>
    <w:p>
      <w:pPr>
        <w:pStyle w:val="ListBullet"/>
      </w:pPr>
      <w:r>
        <w:t>Commits a material breach of this SOW and fails to cure within [30] days of notice</w:t>
      </w:r>
    </w:p>
    <w:p>
      <w:pPr>
        <w:pStyle w:val="ListBullet"/>
      </w:pPr>
      <w:r>
        <w:t>Becomes insolvent or subject to bankruptcy proceedings</w:t>
      </w:r>
    </w:p>
    <w:p>
      <w:pPr>
        <w:pStyle w:val="ListBullet"/>
      </w:pPr>
      <w:r>
        <w:t>Engages in fraudulent or illegal conduct</w:t>
      </w:r>
    </w:p>
    <w:p>
      <w:pPr>
        <w:pStyle w:val="Heading2"/>
      </w:pPr>
      <w:r>
        <w:t>19.3 Effect of Termination</w:t>
      </w:r>
    </w:p>
    <w:p>
      <w:r>
        <w:t>Upon termination, [Client] will pay Bristlecone for all services delivered up to the termination date. Bristlecone will return or destroy all [Client] confidential data.</w:t>
      </w:r>
    </w:p>
    <w:p>
      <w:pPr>
        <w:pStyle w:val="Heading1"/>
      </w:pPr>
      <w:r>
        <w:t>20. Acceptance and Sign-Off</w:t>
      </w:r>
    </w:p>
    <w:p>
      <w:r>
        <w:t>By signing below, both parties confirm they have read, understood, and agree to the terms of this Statement of Work.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B3A6B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2880"/>
            <w:shd w:val="clear" w:color="auto" w:fill="1B3A6B"/>
          </w:tcPr>
          <w:p>
            <w:r>
              <w:rPr>
                <w:b/>
                <w:color w:val="FFFFFF"/>
              </w:rPr>
              <w:t>Bristlecone Inc.</w:t>
            </w:r>
          </w:p>
        </w:tc>
        <w:tc>
          <w:tcPr>
            <w:tcW w:type="dxa" w:w="2880"/>
            <w:shd w:val="clear" w:color="auto" w:fill="1B3A6B"/>
          </w:tcPr>
          <w:p>
            <w:r>
              <w:rPr>
                <w:b/>
                <w:color w:val="FFFFFF"/>
              </w:rPr>
              <w:t>[Client Name]</w:t>
            </w:r>
          </w:p>
        </w:tc>
      </w:tr>
      <w:tr>
        <w:tc>
          <w:tcPr>
            <w:tcW w:type="dxa" w:w="2880"/>
          </w:tcPr>
          <w:p>
            <w:r>
              <w:t>Authorized Signatory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Name (Print)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Signature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21. Key Observations</w:t>
      </w:r>
    </w:p>
    <w:p>
      <w:r>
        <w:t>The following factual observations are noted from the SOW. These do not represent reviewer opinion and are based solely on SOW content.</w:t>
      </w:r>
    </w:p>
    <w:p>
      <w:pPr>
        <w:pStyle w:val="ListBullet"/>
      </w:pPr>
      <w:r>
        <w:t>Critical scope decisions deferred to Pre-Project phase: [list them]</w:t>
      </w:r>
    </w:p>
    <w:p>
      <w:pPr>
        <w:pStyle w:val="ListBullet"/>
      </w:pPr>
      <w:r>
        <w:t>The SOW does [not] specify dated deliverables for major phases</w:t>
      </w:r>
    </w:p>
    <w:p>
      <w:pPr>
        <w:pStyle w:val="ListBullet"/>
      </w:pPr>
      <w:r>
        <w:t>Integration scope includes [X] interfaces, with an explicit statement that scope may expand</w:t>
      </w:r>
    </w:p>
    <w:p>
      <w:pPr>
        <w:pStyle w:val="ListBullet"/>
      </w:pPr>
      <w:r>
        <w:t>Custom code remediation estimates are assumptive (~[X]% of objects expected to need remediation)</w:t>
      </w:r>
    </w:p>
    <w:p>
      <w:pPr>
        <w:pStyle w:val="ListBullet"/>
      </w:pPr>
      <w:r>
        <w:t>Acceptance criteria and payment linkage are defined at [phase / deliverable] level</w:t>
      </w:r>
    </w:p>
    <w:p>
      <w:pPr>
        <w:pStyle w:val="Heading1"/>
      </w:pPr>
      <w:r>
        <w:t>22. Reviewer Recommendations</w:t>
      </w:r>
    </w:p>
    <w:p>
      <w:r>
        <w:t>The following are professional review recommendations. These do not represent SOW language and are clearly marked as reviewer additions.</w:t>
      </w:r>
    </w:p>
    <w:p>
      <w:pPr>
        <w:pStyle w:val="Heading2"/>
      </w:pPr>
      <w:r>
        <w:t>22.1 Governance &amp; Risk Mitigation</w:t>
      </w:r>
    </w:p>
    <w:p>
      <w:pPr>
        <w:pStyle w:val="ListBullet"/>
      </w:pPr>
      <w:r>
        <w:t>Request a Milestone Deliverables Matrix — map each phase to tangible deliverables, acceptance criteria, and payment milestones</w:t>
      </w:r>
    </w:p>
    <w:p>
      <w:pPr>
        <w:pStyle w:val="ListBullet"/>
      </w:pPr>
      <w:r>
        <w:t>Freeze commercial impact of all pre-project decisions before execution</w:t>
      </w:r>
    </w:p>
    <w:p>
      <w:pPr>
        <w:pStyle w:val="ListBullet"/>
      </w:pPr>
      <w:r>
        <w:t>Introduce unit-based pricing or caps for integrations and custom objects beyond baseline</w:t>
      </w:r>
    </w:p>
    <w:p>
      <w:pPr>
        <w:pStyle w:val="Heading2"/>
      </w:pPr>
      <w:r>
        <w:t>22.2 Acceptance &amp; Quality</w:t>
      </w:r>
    </w:p>
    <w:p>
      <w:pPr>
        <w:pStyle w:val="ListBullet"/>
      </w:pPr>
      <w:r>
        <w:t>Ensure acceptance criteria are objective, measurable, and not solely discretionary</w:t>
      </w:r>
    </w:p>
    <w:p>
      <w:pPr>
        <w:pStyle w:val="ListBullet"/>
      </w:pPr>
      <w:r>
        <w:t>Confirm change control applies to all scope growth — technical and functional</w:t>
      </w:r>
    </w:p>
    <w:p>
      <w:pPr>
        <w:pStyle w:val="Heading2"/>
      </w:pPr>
      <w:r>
        <w:t>22.3 Overall Recommendation</w:t>
      </w:r>
    </w:p>
    <w:p>
      <w:r>
        <w:t>[Proceed / Proceed with conditions / Do not proceed — and the specific conditions or clarifications required before signing.]</w:t>
      </w:r>
    </w:p>
    <w:p>
      <w:pPr>
        <w:pStyle w:val="Heading1"/>
      </w:pPr>
      <w:r>
        <w:t>Appendix A - Technical Prerequisites</w:t>
      </w:r>
    </w:p>
    <w:p>
      <w:r>
        <w:t>[List minimum infrastructure, access, and environment requirements for the engagement.]</w:t>
      </w:r>
    </w:p>
    <w:p>
      <w:pPr>
        <w:pStyle w:val="Heading1"/>
      </w:pPr>
      <w:r>
        <w:t>Appendix B - Resource Profiles &amp; Certifications</w:t>
      </w:r>
    </w:p>
    <w:p>
      <w:r>
        <w:t>[List required certifications and experience levels per role.]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8928" w:val="left"/>
      </w:tabs>
    </w:pPr>
    <w:r>
      <w:rPr>
        <w:sz w:val="18"/>
      </w:rPr>
      <w:t>Confidential | Bristlecone Inc.</w:t>
      <w:tab/>
    </w:r>
    <w:r>
      <w:rPr>
        <w:sz w:val="18"/>
      </w:rPr>
      <w:t xml:space="preserve">Page </w:t>
    </w:r>
    <w:r>
      <w:fldChar w:fldCharType="begin"/>
      <w:instrText xml:space="preserve">PAGE</w:instrText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8928" w:val="left"/>
      </w:tabs>
      <w:pBdr>
        <w:bottom w:val="single" w:sz="4" w:space="1" w:color="999999"/>
      </w:pBdr>
    </w:pPr>
    <w:r>
      <w:rPr>
        <w:sz w:val="18"/>
      </w:rPr>
      <w:t>Bristlecone Inc. - Statement of Work Template</w:t>
      <w:tab/>
      <w:t>[Client Name] | [Project Name]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