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pPr>
      <w:r>
        <w:rPr>
          <w:color w:val="1F3B73"/>
          <w:sz w:val="36"/>
        </w:rPr>
        <w:t>4. Work Details</w:t>
      </w:r>
    </w:p>
    <w:p>
      <w:pPr>
        <w:spacing w:after="160"/>
        <w:ind w:left="576"/>
      </w:pPr>
      <w:r>
        <w:rPr>
          <w:i/>
          <w:sz w:val="20"/>
        </w:rPr>
        <w:t>Drafting note (delete before submission): section numbers assume this is Chapter 4. Renumber if your Methodology chapter differs. All quantitative results below are taken from `artifacts/evaluation_report.txt` and `artifacts/manifest.json` produced by this project's own training run.</w:t>
      </w:r>
    </w:p>
    <w:p>
      <w:pPr>
        <w:spacing w:before="40" w:after="40"/>
        <w:pBdr>
          <w:bottom w:val="single" w:sz="6" w:space="1" w:color="BBBBBB"/>
        </w:pBdr>
      </w:pPr>
    </w:p>
    <w:p>
      <w:pPr>
        <w:pStyle w:val="Heading2"/>
        <w:spacing w:before="280" w:after="120"/>
      </w:pPr>
      <w:r>
        <w:rPr>
          <w:color w:val="1F3B73"/>
          <w:sz w:val="30"/>
        </w:rPr>
        <w:t>4.1 Overview of the Implemented System</w:t>
      </w:r>
    </w:p>
    <w:p>
      <w:pPr>
        <w:spacing w:after="160" w:line="276" w:lineRule="auto"/>
        <w:jc w:val="both"/>
      </w:pPr>
      <w:r>
        <w:rPr>
          <w:sz w:val="22"/>
        </w:rPr>
        <w:t xml:space="preserve">This chapter describes the concrete implementation of </w:t>
      </w:r>
      <w:r>
        <w:rPr>
          <w:b/>
          <w:sz w:val="22"/>
        </w:rPr>
        <w:t>Cyber Surakshya</w:t>
      </w:r>
      <w:r>
        <w:rPr>
          <w:sz w:val="22"/>
        </w:rPr>
        <w:t>, the multi-agent intrusion detection platform proposed in the previous chapter. The work is presented in the order it was built: first the machine-learning core that decides whether a network flow is hostile, then the software platform that acts on that decision, and finally the testing and evaluation that establish whether the two work correctly together.</w:t>
      </w:r>
    </w:p>
    <w:p>
      <w:pPr>
        <w:spacing w:after="160" w:line="276" w:lineRule="auto"/>
        <w:jc w:val="both"/>
      </w:pPr>
      <w:r>
        <w:rPr>
          <w:sz w:val="22"/>
        </w:rPr>
        <w:t>The finished system consists of six cooperating parts:</w:t>
      </w:r>
    </w:p>
    <w:tbl>
      <w:tblPr>
        <w:tblStyle w:val="TableGrid"/>
        <w:tblW w:type="auto" w:w="0"/>
        <w:jc w:val="center"/>
        <w:tblLayout w:type="autofit"/>
        <w:tblLook w:firstColumn="1" w:firstRow="1" w:lastColumn="0" w:lastRow="0" w:noHBand="0" w:noVBand="1" w:val="04A0"/>
      </w:tblPr>
      <w:tblGrid>
        <w:gridCol w:w="3010"/>
        <w:gridCol w:w="3010"/>
        <w:gridCol w:w="3010"/>
      </w:tblGrid>
      <w:tr>
        <w:trPr>
          <w:tblHeader w:val="true"/>
        </w:trPr>
        <w:tc>
          <w:tcPr>
            <w:tcW w:type="dxa" w:w="3010"/>
            <w:shd w:val="clear" w:color="auto" w:fill="1F3B73"/>
          </w:tcPr>
          <w:p>
            <w:pPr>
              <w:spacing w:before="40" w:after="40"/>
            </w:pPr>
            <w:r/>
            <w:r>
              <w:rPr>
                <w:b/>
                <w:color w:val="FFFFFF"/>
                <w:sz w:val="19"/>
              </w:rPr>
              <w:t>Layer</w:t>
            </w:r>
          </w:p>
        </w:tc>
        <w:tc>
          <w:tcPr>
            <w:tcW w:type="dxa" w:w="3010"/>
            <w:shd w:val="clear" w:color="auto" w:fill="1F3B73"/>
          </w:tcPr>
          <w:p>
            <w:pPr>
              <w:spacing w:before="40" w:after="40"/>
            </w:pPr>
            <w:r/>
            <w:r>
              <w:rPr>
                <w:b/>
                <w:color w:val="FFFFFF"/>
                <w:sz w:val="19"/>
              </w:rPr>
              <w:t>Responsibility</w:t>
            </w:r>
          </w:p>
        </w:tc>
        <w:tc>
          <w:tcPr>
            <w:tcW w:type="dxa" w:w="3010"/>
            <w:shd w:val="clear" w:color="auto" w:fill="1F3B73"/>
          </w:tcPr>
          <w:p>
            <w:pPr>
              <w:spacing w:before="40" w:after="40"/>
            </w:pPr>
            <w:r/>
            <w:r>
              <w:rPr>
                <w:b/>
                <w:color w:val="FFFFFF"/>
                <w:sz w:val="19"/>
              </w:rPr>
              <w:t>Key modules</w:t>
            </w:r>
          </w:p>
        </w:tc>
      </w:tr>
      <w:tr>
        <w:tc>
          <w:tcPr>
            <w:tcW w:type="dxa" w:w="3010"/>
          </w:tcPr>
          <w:p>
            <w:pPr>
              <w:spacing w:before="40" w:after="40"/>
            </w:pPr>
            <w:r/>
            <w:r>
              <w:rPr>
                <w:b/>
                <w:sz w:val="19"/>
              </w:rPr>
              <w:t>Ingestion</w:t>
            </w:r>
          </w:p>
        </w:tc>
        <w:tc>
          <w:tcPr>
            <w:tcW w:type="dxa" w:w="3010"/>
          </w:tcPr>
          <w:p>
            <w:pPr>
              <w:spacing w:before="40" w:after="40"/>
            </w:pPr>
            <w:r/>
            <w:r>
              <w:rPr>
                <w:sz w:val="19"/>
              </w:rPr>
              <w:t>Captures live network traffic and converts it to numerical flow records</w:t>
            </w:r>
          </w:p>
        </w:tc>
        <w:tc>
          <w:tcPr>
            <w:tcW w:type="dxa" w:w="3010"/>
          </w:tcPr>
          <w:p>
            <w:pPr>
              <w:spacing w:before="40" w:after="40"/>
            </w:pPr>
            <w:r/>
            <w:r>
              <w:rPr>
                <w:rFonts w:ascii="Consolas" w:hAnsi="Consolas"/>
                <w:color w:val="24292E"/>
                <w:sz w:val="17"/>
              </w:rPr>
              <w:t>ingestion/</w:t>
            </w:r>
          </w:p>
        </w:tc>
      </w:tr>
      <w:tr>
        <w:tc>
          <w:tcPr>
            <w:tcW w:type="dxa" w:w="3010"/>
          </w:tcPr>
          <w:p>
            <w:pPr>
              <w:spacing w:before="40" w:after="40"/>
            </w:pPr>
            <w:r/>
            <w:r>
              <w:rPr>
                <w:b/>
                <w:sz w:val="19"/>
              </w:rPr>
              <w:t>Detection</w:t>
            </w:r>
          </w:p>
        </w:tc>
        <w:tc>
          <w:tcPr>
            <w:tcW w:type="dxa" w:w="3010"/>
          </w:tcPr>
          <w:p>
            <w:pPr>
              <w:spacing w:before="40" w:after="40"/>
            </w:pPr>
            <w:r/>
            <w:r>
              <w:rPr>
                <w:sz w:val="19"/>
              </w:rPr>
              <w:t>Classifies each flow using the trained model</w:t>
            </w:r>
          </w:p>
        </w:tc>
        <w:tc>
          <w:tcPr>
            <w:tcW w:type="dxa" w:w="3010"/>
          </w:tcPr>
          <w:p>
            <w:pPr>
              <w:spacing w:before="40" w:after="40"/>
            </w:pPr>
            <w:r/>
            <w:r>
              <w:rPr>
                <w:rFonts w:ascii="Consolas" w:hAnsi="Consolas"/>
                <w:color w:val="24292E"/>
                <w:sz w:val="17"/>
              </w:rPr>
              <w:t>inference.py</w:t>
            </w:r>
            <w:r>
              <w:rPr>
                <w:sz w:val="19"/>
              </w:rPr>
              <w:t xml:space="preserve">, </w:t>
            </w:r>
            <w:r>
              <w:rPr>
                <w:rFonts w:ascii="Consolas" w:hAnsi="Consolas"/>
                <w:color w:val="24292E"/>
                <w:sz w:val="17"/>
              </w:rPr>
              <w:t>adapters/detection/</w:t>
            </w:r>
          </w:p>
        </w:tc>
      </w:tr>
      <w:tr>
        <w:tc>
          <w:tcPr>
            <w:tcW w:type="dxa" w:w="3010"/>
          </w:tcPr>
          <w:p>
            <w:pPr>
              <w:spacing w:before="40" w:after="40"/>
            </w:pPr>
            <w:r/>
            <w:r>
              <w:rPr>
                <w:b/>
                <w:sz w:val="19"/>
              </w:rPr>
              <w:t>Analysis</w:t>
            </w:r>
          </w:p>
        </w:tc>
        <w:tc>
          <w:tcPr>
            <w:tcW w:type="dxa" w:w="3010"/>
          </w:tcPr>
          <w:p>
            <w:pPr>
              <w:spacing w:before="40" w:after="40"/>
            </w:pPr>
            <w:r/>
            <w:r>
              <w:rPr>
                <w:sz w:val="19"/>
              </w:rPr>
              <w:t>Interprets the detection and attaches supporting evidence</w:t>
            </w:r>
          </w:p>
        </w:tc>
        <w:tc>
          <w:tcPr>
            <w:tcW w:type="dxa" w:w="3010"/>
          </w:tcPr>
          <w:p>
            <w:pPr>
              <w:spacing w:before="40" w:after="40"/>
            </w:pPr>
            <w:r/>
            <w:r>
              <w:rPr>
                <w:rFonts w:ascii="Consolas" w:hAnsi="Consolas"/>
                <w:color w:val="24292E"/>
                <w:sz w:val="17"/>
              </w:rPr>
              <w:t>agents/analysis/</w:t>
            </w:r>
          </w:p>
        </w:tc>
      </w:tr>
      <w:tr>
        <w:tc>
          <w:tcPr>
            <w:tcW w:type="dxa" w:w="3010"/>
          </w:tcPr>
          <w:p>
            <w:pPr>
              <w:spacing w:before="40" w:after="40"/>
            </w:pPr>
            <w:r/>
            <w:r>
              <w:rPr>
                <w:b/>
                <w:sz w:val="19"/>
              </w:rPr>
              <w:t>Decision</w:t>
            </w:r>
          </w:p>
        </w:tc>
        <w:tc>
          <w:tcPr>
            <w:tcW w:type="dxa" w:w="3010"/>
          </w:tcPr>
          <w:p>
            <w:pPr>
              <w:spacing w:before="40" w:after="40"/>
            </w:pPr>
            <w:r/>
            <w:r>
              <w:rPr>
                <w:sz w:val="19"/>
              </w:rPr>
              <w:t>Applies a security policy to choose a response action</w:t>
            </w:r>
          </w:p>
        </w:tc>
        <w:tc>
          <w:tcPr>
            <w:tcW w:type="dxa" w:w="3010"/>
          </w:tcPr>
          <w:p>
            <w:pPr>
              <w:spacing w:before="40" w:after="40"/>
            </w:pPr>
            <w:r/>
            <w:r>
              <w:rPr>
                <w:rFonts w:ascii="Consolas" w:hAnsi="Consolas"/>
                <w:color w:val="24292E"/>
                <w:sz w:val="17"/>
              </w:rPr>
              <w:t>agents/decision/</w:t>
            </w:r>
          </w:p>
        </w:tc>
      </w:tr>
      <w:tr>
        <w:tc>
          <w:tcPr>
            <w:tcW w:type="dxa" w:w="3010"/>
          </w:tcPr>
          <w:p>
            <w:pPr>
              <w:spacing w:before="40" w:after="40"/>
            </w:pPr>
            <w:r/>
            <w:r>
              <w:rPr>
                <w:b/>
                <w:sz w:val="19"/>
              </w:rPr>
              <w:t>Response</w:t>
            </w:r>
          </w:p>
        </w:tc>
        <w:tc>
          <w:tcPr>
            <w:tcW w:type="dxa" w:w="3010"/>
          </w:tcPr>
          <w:p>
            <w:pPr>
              <w:spacing w:before="40" w:after="40"/>
            </w:pPr>
            <w:r/>
            <w:r>
              <w:rPr>
                <w:sz w:val="19"/>
              </w:rPr>
              <w:t>Authorises and executes (or refuses) the chosen action</w:t>
            </w:r>
          </w:p>
        </w:tc>
        <w:tc>
          <w:tcPr>
            <w:tcW w:type="dxa" w:w="3010"/>
          </w:tcPr>
          <w:p>
            <w:pPr>
              <w:spacing w:before="40" w:after="40"/>
            </w:pPr>
            <w:r/>
            <w:r>
              <w:rPr>
                <w:rFonts w:ascii="Consolas" w:hAnsi="Consolas"/>
                <w:color w:val="24292E"/>
                <w:sz w:val="17"/>
              </w:rPr>
              <w:t>agents/response/</w:t>
            </w:r>
          </w:p>
        </w:tc>
      </w:tr>
      <w:tr>
        <w:tc>
          <w:tcPr>
            <w:tcW w:type="dxa" w:w="3010"/>
          </w:tcPr>
          <w:p>
            <w:pPr>
              <w:spacing w:before="40" w:after="40"/>
            </w:pPr>
            <w:r/>
            <w:r>
              <w:rPr>
                <w:b/>
                <w:sz w:val="19"/>
              </w:rPr>
              <w:t>Learning</w:t>
            </w:r>
          </w:p>
        </w:tc>
        <w:tc>
          <w:tcPr>
            <w:tcW w:type="dxa" w:w="3010"/>
          </w:tcPr>
          <w:p>
            <w:pPr>
              <w:spacing w:before="40" w:after="40"/>
            </w:pPr>
            <w:r/>
            <w:r>
              <w:rPr>
                <w:sz w:val="19"/>
              </w:rPr>
              <w:t>Reviews historical outcomes and proposes improvements</w:t>
            </w:r>
          </w:p>
        </w:tc>
        <w:tc>
          <w:tcPr>
            <w:tcW w:type="dxa" w:w="3010"/>
          </w:tcPr>
          <w:p>
            <w:pPr>
              <w:spacing w:before="40" w:after="40"/>
            </w:pPr>
            <w:r/>
            <w:r>
              <w:rPr>
                <w:rFonts w:ascii="Consolas" w:hAnsi="Consolas"/>
                <w:color w:val="24292E"/>
                <w:sz w:val="17"/>
              </w:rPr>
              <w:t>agents/learning/</w:t>
            </w:r>
          </w:p>
        </w:tc>
      </w:tr>
    </w:tbl>
    <w:p>
      <w:pPr>
        <w:spacing w:after="80"/>
      </w:pPr>
    </w:p>
    <w:p>
      <w:pPr>
        <w:spacing w:after="160" w:line="276" w:lineRule="auto"/>
        <w:jc w:val="both"/>
      </w:pPr>
      <w:r>
        <w:rPr>
          <w:sz w:val="22"/>
        </w:rPr>
        <w:t xml:space="preserve">A </w:t>
      </w:r>
      <w:r>
        <w:rPr>
          <w:i/>
          <w:sz w:val="22"/>
        </w:rPr>
        <w:t>flow</w:t>
      </w:r>
      <w:r>
        <w:rPr>
          <w:sz w:val="22"/>
        </w:rPr>
        <w:t xml:space="preserve"> is the central unit of data throughout this system. A flow is one conversation between two computers — identified by source IP, source port, destination IP, destination port and protocol — summarised as a fixed list of numeric measurements such as duration, packet counts, byte counts and inter-arrival timings. The model never inspects packet contents; it reasons only about these statistical summaries. This is what allows detection to work on encrypted traffic and what makes the system privacy-preserving by design.</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System Architecture Diagram — six layers with data flow arrows from Ingestion through to Learning]</w:t>
      </w:r>
    </w:p>
    <w:p>
      <w:pPr>
        <w:spacing w:before="40" w:after="40"/>
        <w:pBdr>
          <w:bottom w:val="single" w:sz="6" w:space="1" w:color="BBBBBB"/>
        </w:pBdr>
      </w:pPr>
    </w:p>
    <w:p>
      <w:pPr>
        <w:pStyle w:val="Heading2"/>
        <w:spacing w:before="280" w:after="120"/>
      </w:pPr>
      <w:r>
        <w:rPr>
          <w:color w:val="1F3B73"/>
          <w:sz w:val="30"/>
        </w:rPr>
        <w:t>4.2 Data Handling and Preprocessing</w:t>
      </w:r>
    </w:p>
    <w:p>
      <w:pPr>
        <w:pStyle w:val="Heading3"/>
        <w:spacing w:before="200" w:after="120"/>
      </w:pPr>
      <w:r>
        <w:rPr>
          <w:color w:val="1F3B73"/>
          <w:sz w:val="25"/>
        </w:rPr>
        <w:t>4.2.1 Dataset Description</w:t>
      </w:r>
    </w:p>
    <w:p>
      <w:pPr>
        <w:spacing w:after="160" w:line="276" w:lineRule="auto"/>
        <w:jc w:val="both"/>
      </w:pPr>
      <w:r>
        <w:rPr>
          <w:sz w:val="22"/>
        </w:rPr>
        <w:t xml:space="preserve">The system was trained on a cleaned derivative of the </w:t>
      </w:r>
      <w:r>
        <w:rPr>
          <w:b/>
          <w:sz w:val="22"/>
        </w:rPr>
        <w:t>CICIDS2017</w:t>
      </w:r>
      <w:r>
        <w:rPr>
          <w:sz w:val="22"/>
        </w:rPr>
        <w:t xml:space="preserve"> dataset, a widely used public benchmark of labelled network traffic produced by the Canadian Institute for Cybersecurity. The working file, </w:t>
      </w:r>
      <w:r>
        <w:rPr>
          <w:rFonts w:ascii="Consolas" w:hAnsi="Consolas"/>
          <w:color w:val="24292E"/>
          <w:sz w:val="20"/>
        </w:rPr>
        <w:t>data/cicids2017_cleaned.csv</w:t>
      </w:r>
      <w:r>
        <w:rPr>
          <w:sz w:val="22"/>
        </w:rPr>
        <w:t xml:space="preserve">, contains </w:t>
      </w:r>
      <w:r>
        <w:rPr>
          <w:b/>
          <w:sz w:val="22"/>
        </w:rPr>
        <w:t>2,520,751 rows and 53 columns</w:t>
      </w:r>
      <w:r>
        <w:rPr>
          <w:sz w:val="22"/>
        </w:rPr>
        <w:t xml:space="preserve"> (52 numerical flow features plus one label column named </w:t>
      </w:r>
      <w:r>
        <w:rPr>
          <w:rFonts w:ascii="Consolas" w:hAnsi="Consolas"/>
          <w:color w:val="24292E"/>
          <w:sz w:val="20"/>
        </w:rPr>
        <w:t>Attack Type</w:t>
      </w:r>
      <w:r>
        <w:rPr>
          <w:sz w:val="22"/>
        </w:rPr>
        <w:t>).</w:t>
      </w:r>
    </w:p>
    <w:p>
      <w:pPr>
        <w:spacing w:after="160" w:line="276" w:lineRule="auto"/>
        <w:jc w:val="both"/>
      </w:pPr>
      <w:r>
        <w:rPr>
          <w:sz w:val="22"/>
        </w:rPr>
        <w:t>The raw label distribution is severely imbalanced, which proved to be the single most important characteristic of this dataset for the results reported later:</w:t>
      </w:r>
    </w:p>
    <w:tbl>
      <w:tblPr>
        <w:tblStyle w:val="TableGrid"/>
        <w:tblW w:type="auto" w:w="0"/>
        <w:jc w:val="center"/>
        <w:tblLayout w:type="autofit"/>
        <w:tblLook w:firstColumn="1" w:firstRow="1" w:lastColumn="0" w:lastRow="0" w:noHBand="0" w:noVBand="1" w:val="04A0"/>
      </w:tblPr>
      <w:tblGrid>
        <w:gridCol w:w="2257"/>
        <w:gridCol w:w="2257"/>
        <w:gridCol w:w="2257"/>
        <w:gridCol w:w="2257"/>
      </w:tblGrid>
      <w:tr>
        <w:trPr>
          <w:tblHeader w:val="true"/>
        </w:trPr>
        <w:tc>
          <w:tcPr>
            <w:tcW w:type="dxa" w:w="2257"/>
            <w:shd w:val="clear" w:color="auto" w:fill="1F3B73"/>
          </w:tcPr>
          <w:p>
            <w:pPr>
              <w:spacing w:before="40" w:after="40"/>
            </w:pPr>
            <w:r/>
            <w:r>
              <w:rPr>
                <w:b/>
                <w:color w:val="FFFFFF"/>
                <w:sz w:val="19"/>
              </w:rPr>
              <w:t>Raw label</w:t>
            </w:r>
          </w:p>
        </w:tc>
        <w:tc>
          <w:tcPr>
            <w:tcW w:type="dxa" w:w="2257"/>
            <w:shd w:val="clear" w:color="auto" w:fill="1F3B73"/>
          </w:tcPr>
          <w:p>
            <w:pPr>
              <w:spacing w:before="40" w:after="40"/>
            </w:pPr>
            <w:r/>
            <w:r>
              <w:rPr>
                <w:b/>
                <w:color w:val="FFFFFF"/>
                <w:sz w:val="19"/>
              </w:rPr>
              <w:t>Normalised class</w:t>
            </w:r>
          </w:p>
        </w:tc>
        <w:tc>
          <w:tcPr>
            <w:tcW w:type="dxa" w:w="2257"/>
            <w:shd w:val="clear" w:color="auto" w:fill="1F3B73"/>
          </w:tcPr>
          <w:p>
            <w:pPr>
              <w:spacing w:before="40" w:after="40"/>
            </w:pPr>
            <w:r/>
            <w:r>
              <w:rPr>
                <w:b/>
                <w:color w:val="FFFFFF"/>
                <w:sz w:val="19"/>
              </w:rPr>
              <w:t>Rows</w:t>
            </w:r>
          </w:p>
        </w:tc>
        <w:tc>
          <w:tcPr>
            <w:tcW w:type="dxa" w:w="2257"/>
            <w:shd w:val="clear" w:color="auto" w:fill="1F3B73"/>
          </w:tcPr>
          <w:p>
            <w:pPr>
              <w:spacing w:before="40" w:after="40"/>
            </w:pPr>
            <w:r/>
            <w:r>
              <w:rPr>
                <w:b/>
                <w:color w:val="FFFFFF"/>
                <w:sz w:val="19"/>
              </w:rPr>
              <w:t>Share of dataset</w:t>
            </w:r>
          </w:p>
        </w:tc>
      </w:tr>
      <w:tr>
        <w:tc>
          <w:tcPr>
            <w:tcW w:type="dxa" w:w="2257"/>
          </w:tcPr>
          <w:p>
            <w:pPr>
              <w:spacing w:before="40" w:after="40"/>
            </w:pPr>
            <w:r/>
            <w:r>
              <w:rPr>
                <w:sz w:val="19"/>
              </w:rPr>
              <w:t>Normal Traffic</w:t>
            </w:r>
          </w:p>
        </w:tc>
        <w:tc>
          <w:tcPr>
            <w:tcW w:type="dxa" w:w="2257"/>
          </w:tcPr>
          <w:p>
            <w:pPr>
              <w:spacing w:before="40" w:after="40"/>
            </w:pPr>
            <w:r/>
            <w:r>
              <w:rPr>
                <w:sz w:val="19"/>
              </w:rPr>
              <w:t>BENIGN</w:t>
            </w:r>
          </w:p>
        </w:tc>
        <w:tc>
          <w:tcPr>
            <w:tcW w:type="dxa" w:w="2257"/>
          </w:tcPr>
          <w:p>
            <w:pPr>
              <w:spacing w:before="40" w:after="40"/>
            </w:pPr>
            <w:r/>
            <w:r>
              <w:rPr>
                <w:sz w:val="19"/>
              </w:rPr>
              <w:t>2,095,057</w:t>
            </w:r>
          </w:p>
        </w:tc>
        <w:tc>
          <w:tcPr>
            <w:tcW w:type="dxa" w:w="2257"/>
          </w:tcPr>
          <w:p>
            <w:pPr>
              <w:spacing w:before="40" w:after="40"/>
            </w:pPr>
            <w:r/>
            <w:r>
              <w:rPr>
                <w:sz w:val="19"/>
              </w:rPr>
              <w:t>83.11%</w:t>
            </w:r>
          </w:p>
        </w:tc>
      </w:tr>
      <w:tr>
        <w:tc>
          <w:tcPr>
            <w:tcW w:type="dxa" w:w="2257"/>
          </w:tcPr>
          <w:p>
            <w:pPr>
              <w:spacing w:before="40" w:after="40"/>
            </w:pPr>
            <w:r/>
            <w:r>
              <w:rPr>
                <w:sz w:val="19"/>
              </w:rPr>
              <w:t>DoS</w:t>
            </w:r>
          </w:p>
        </w:tc>
        <w:tc>
          <w:tcPr>
            <w:tcW w:type="dxa" w:w="2257"/>
          </w:tcPr>
          <w:p>
            <w:pPr>
              <w:spacing w:before="40" w:after="40"/>
            </w:pPr>
            <w:r/>
            <w:r>
              <w:rPr>
                <w:sz w:val="19"/>
              </w:rPr>
              <w:t>DOS</w:t>
            </w:r>
          </w:p>
        </w:tc>
        <w:tc>
          <w:tcPr>
            <w:tcW w:type="dxa" w:w="2257"/>
          </w:tcPr>
          <w:p>
            <w:pPr>
              <w:spacing w:before="40" w:after="40"/>
            </w:pPr>
            <w:r/>
            <w:r>
              <w:rPr>
                <w:sz w:val="19"/>
              </w:rPr>
              <w:t>193,745</w:t>
            </w:r>
          </w:p>
        </w:tc>
        <w:tc>
          <w:tcPr>
            <w:tcW w:type="dxa" w:w="2257"/>
          </w:tcPr>
          <w:p>
            <w:pPr>
              <w:spacing w:before="40" w:after="40"/>
            </w:pPr>
            <w:r/>
            <w:r>
              <w:rPr>
                <w:sz w:val="19"/>
              </w:rPr>
              <w:t>7.69%</w:t>
            </w:r>
          </w:p>
        </w:tc>
      </w:tr>
      <w:tr>
        <w:tc>
          <w:tcPr>
            <w:tcW w:type="dxa" w:w="2257"/>
          </w:tcPr>
          <w:p>
            <w:pPr>
              <w:spacing w:before="40" w:after="40"/>
            </w:pPr>
            <w:r/>
            <w:r>
              <w:rPr>
                <w:sz w:val="19"/>
              </w:rPr>
              <w:t>DDoS</w:t>
            </w:r>
          </w:p>
        </w:tc>
        <w:tc>
          <w:tcPr>
            <w:tcW w:type="dxa" w:w="2257"/>
          </w:tcPr>
          <w:p>
            <w:pPr>
              <w:spacing w:before="40" w:after="40"/>
            </w:pPr>
            <w:r/>
            <w:r>
              <w:rPr>
                <w:sz w:val="19"/>
              </w:rPr>
              <w:t>DDOS</w:t>
            </w:r>
          </w:p>
        </w:tc>
        <w:tc>
          <w:tcPr>
            <w:tcW w:type="dxa" w:w="2257"/>
          </w:tcPr>
          <w:p>
            <w:pPr>
              <w:spacing w:before="40" w:after="40"/>
            </w:pPr>
            <w:r/>
            <w:r>
              <w:rPr>
                <w:sz w:val="19"/>
              </w:rPr>
              <w:t>128,014</w:t>
            </w:r>
          </w:p>
        </w:tc>
        <w:tc>
          <w:tcPr>
            <w:tcW w:type="dxa" w:w="2257"/>
          </w:tcPr>
          <w:p>
            <w:pPr>
              <w:spacing w:before="40" w:after="40"/>
            </w:pPr>
            <w:r/>
            <w:r>
              <w:rPr>
                <w:sz w:val="19"/>
              </w:rPr>
              <w:t>5.08%</w:t>
            </w:r>
          </w:p>
        </w:tc>
      </w:tr>
      <w:tr>
        <w:tc>
          <w:tcPr>
            <w:tcW w:type="dxa" w:w="2257"/>
          </w:tcPr>
          <w:p>
            <w:pPr>
              <w:spacing w:before="40" w:after="40"/>
            </w:pPr>
            <w:r/>
            <w:r>
              <w:rPr>
                <w:sz w:val="19"/>
              </w:rPr>
              <w:t>Port Scanning</w:t>
            </w:r>
          </w:p>
        </w:tc>
        <w:tc>
          <w:tcPr>
            <w:tcW w:type="dxa" w:w="2257"/>
          </w:tcPr>
          <w:p>
            <w:pPr>
              <w:spacing w:before="40" w:after="40"/>
            </w:pPr>
            <w:r/>
            <w:r>
              <w:rPr>
                <w:sz w:val="19"/>
              </w:rPr>
              <w:t>PORTSCAN</w:t>
            </w:r>
          </w:p>
        </w:tc>
        <w:tc>
          <w:tcPr>
            <w:tcW w:type="dxa" w:w="2257"/>
          </w:tcPr>
          <w:p>
            <w:pPr>
              <w:spacing w:before="40" w:after="40"/>
            </w:pPr>
            <w:r/>
            <w:r>
              <w:rPr>
                <w:sz w:val="19"/>
              </w:rPr>
              <w:t>90,694</w:t>
            </w:r>
          </w:p>
        </w:tc>
        <w:tc>
          <w:tcPr>
            <w:tcW w:type="dxa" w:w="2257"/>
          </w:tcPr>
          <w:p>
            <w:pPr>
              <w:spacing w:before="40" w:after="40"/>
            </w:pPr>
            <w:r/>
            <w:r>
              <w:rPr>
                <w:sz w:val="19"/>
              </w:rPr>
              <w:t>3.60%</w:t>
            </w:r>
          </w:p>
        </w:tc>
      </w:tr>
      <w:tr>
        <w:tc>
          <w:tcPr>
            <w:tcW w:type="dxa" w:w="2257"/>
          </w:tcPr>
          <w:p>
            <w:pPr>
              <w:spacing w:before="40" w:after="40"/>
            </w:pPr>
            <w:r/>
            <w:r>
              <w:rPr>
                <w:sz w:val="19"/>
              </w:rPr>
              <w:t>Brute Force</w:t>
            </w:r>
          </w:p>
        </w:tc>
        <w:tc>
          <w:tcPr>
            <w:tcW w:type="dxa" w:w="2257"/>
          </w:tcPr>
          <w:p>
            <w:pPr>
              <w:spacing w:before="40" w:after="40"/>
            </w:pPr>
            <w:r/>
            <w:r>
              <w:rPr>
                <w:sz w:val="19"/>
              </w:rPr>
              <w:t>BRUTEFORCE</w:t>
            </w:r>
          </w:p>
        </w:tc>
        <w:tc>
          <w:tcPr>
            <w:tcW w:type="dxa" w:w="2257"/>
          </w:tcPr>
          <w:p>
            <w:pPr>
              <w:spacing w:before="40" w:after="40"/>
            </w:pPr>
            <w:r/>
            <w:r>
              <w:rPr>
                <w:sz w:val="19"/>
              </w:rPr>
              <w:t>9,150</w:t>
            </w:r>
          </w:p>
        </w:tc>
        <w:tc>
          <w:tcPr>
            <w:tcW w:type="dxa" w:w="2257"/>
          </w:tcPr>
          <w:p>
            <w:pPr>
              <w:spacing w:before="40" w:after="40"/>
            </w:pPr>
            <w:r/>
            <w:r>
              <w:rPr>
                <w:sz w:val="19"/>
              </w:rPr>
              <w:t>0.36%</w:t>
            </w:r>
          </w:p>
        </w:tc>
      </w:tr>
      <w:tr>
        <w:tc>
          <w:tcPr>
            <w:tcW w:type="dxa" w:w="2257"/>
          </w:tcPr>
          <w:p>
            <w:pPr>
              <w:spacing w:before="40" w:after="40"/>
            </w:pPr>
            <w:r/>
            <w:r>
              <w:rPr>
                <w:sz w:val="19"/>
              </w:rPr>
              <w:t>Web Attacks</w:t>
            </w:r>
          </w:p>
        </w:tc>
        <w:tc>
          <w:tcPr>
            <w:tcW w:type="dxa" w:w="2257"/>
          </w:tcPr>
          <w:p>
            <w:pPr>
              <w:spacing w:before="40" w:after="40"/>
            </w:pPr>
            <w:r/>
            <w:r>
              <w:rPr>
                <w:sz w:val="19"/>
              </w:rPr>
              <w:t>WEBATTACK</w:t>
            </w:r>
          </w:p>
        </w:tc>
        <w:tc>
          <w:tcPr>
            <w:tcW w:type="dxa" w:w="2257"/>
          </w:tcPr>
          <w:p>
            <w:pPr>
              <w:spacing w:before="40" w:after="40"/>
            </w:pPr>
            <w:r/>
            <w:r>
              <w:rPr>
                <w:sz w:val="19"/>
              </w:rPr>
              <w:t>2,143</w:t>
            </w:r>
          </w:p>
        </w:tc>
        <w:tc>
          <w:tcPr>
            <w:tcW w:type="dxa" w:w="2257"/>
          </w:tcPr>
          <w:p>
            <w:pPr>
              <w:spacing w:before="40" w:after="40"/>
            </w:pPr>
            <w:r/>
            <w:r>
              <w:rPr>
                <w:sz w:val="19"/>
              </w:rPr>
              <w:t>0.09%</w:t>
            </w:r>
          </w:p>
        </w:tc>
      </w:tr>
      <w:tr>
        <w:tc>
          <w:tcPr>
            <w:tcW w:type="dxa" w:w="2257"/>
          </w:tcPr>
          <w:p>
            <w:pPr>
              <w:spacing w:before="40" w:after="40"/>
            </w:pPr>
            <w:r/>
            <w:r>
              <w:rPr>
                <w:sz w:val="19"/>
              </w:rPr>
              <w:t>Bots</w:t>
            </w:r>
          </w:p>
        </w:tc>
        <w:tc>
          <w:tcPr>
            <w:tcW w:type="dxa" w:w="2257"/>
          </w:tcPr>
          <w:p>
            <w:pPr>
              <w:spacing w:before="40" w:after="40"/>
            </w:pPr>
            <w:r/>
            <w:r>
              <w:rPr>
                <w:sz w:val="19"/>
              </w:rPr>
              <w:t>BOTNET</w:t>
            </w:r>
          </w:p>
        </w:tc>
        <w:tc>
          <w:tcPr>
            <w:tcW w:type="dxa" w:w="2257"/>
          </w:tcPr>
          <w:p>
            <w:pPr>
              <w:spacing w:before="40" w:after="40"/>
            </w:pPr>
            <w:r/>
            <w:r>
              <w:rPr>
                <w:sz w:val="19"/>
              </w:rPr>
              <w:t>1,948</w:t>
            </w:r>
          </w:p>
        </w:tc>
        <w:tc>
          <w:tcPr>
            <w:tcW w:type="dxa" w:w="2257"/>
          </w:tcPr>
          <w:p>
            <w:pPr>
              <w:spacing w:before="40" w:after="40"/>
            </w:pPr>
            <w:r/>
            <w:r>
              <w:rPr>
                <w:sz w:val="19"/>
              </w:rPr>
              <w:t>0.08%</w:t>
            </w:r>
          </w:p>
        </w:tc>
      </w:tr>
      <w:tr>
        <w:tc>
          <w:tcPr>
            <w:tcW w:type="dxa" w:w="2257"/>
          </w:tcPr>
          <w:p>
            <w:pPr>
              <w:spacing w:before="40" w:after="40"/>
            </w:pPr>
            <w:r/>
            <w:r>
              <w:rPr>
                <w:b/>
                <w:sz w:val="19"/>
              </w:rPr>
              <w:t>Total</w:t>
            </w:r>
          </w:p>
        </w:tc>
        <w:tc>
          <w:tcPr>
            <w:tcW w:type="dxa" w:w="2257"/>
          </w:tcPr>
          <w:p>
            <w:pPr>
              <w:spacing w:before="40" w:after="40"/>
            </w:pPr>
            <w:r/>
          </w:p>
        </w:tc>
        <w:tc>
          <w:tcPr>
            <w:tcW w:type="dxa" w:w="2257"/>
          </w:tcPr>
          <w:p>
            <w:pPr>
              <w:spacing w:before="40" w:after="40"/>
            </w:pPr>
            <w:r/>
            <w:r>
              <w:rPr>
                <w:b/>
                <w:sz w:val="19"/>
              </w:rPr>
              <w:t>2,520,751</w:t>
            </w:r>
          </w:p>
        </w:tc>
        <w:tc>
          <w:tcPr>
            <w:tcW w:type="dxa" w:w="2257"/>
          </w:tcPr>
          <w:p>
            <w:pPr>
              <w:spacing w:before="40" w:after="40"/>
            </w:pPr>
            <w:r/>
            <w:r>
              <w:rPr>
                <w:b/>
                <w:sz w:val="19"/>
              </w:rPr>
              <w:t>100%</w:t>
            </w:r>
          </w:p>
        </w:tc>
      </w:tr>
    </w:tbl>
    <w:p>
      <w:pPr>
        <w:spacing w:after="80"/>
      </w:pPr>
    </w:p>
    <w:p>
      <w:pPr>
        <w:spacing w:after="160" w:line="276" w:lineRule="auto"/>
        <w:jc w:val="both"/>
      </w:pPr>
      <w:r>
        <w:rPr>
          <w:sz w:val="22"/>
        </w:rPr>
        <w:t>Two observations follow directly from this table and shape the rest of the chapter.</w:t>
      </w:r>
    </w:p>
    <w:p>
      <w:pPr>
        <w:spacing w:after="160" w:line="276" w:lineRule="auto"/>
        <w:jc w:val="both"/>
      </w:pPr>
      <w:r>
        <w:rPr>
          <w:sz w:val="22"/>
        </w:rPr>
        <w:t xml:space="preserve">First, the four largest classes account for </w:t>
      </w:r>
      <w:r>
        <w:rPr>
          <w:b/>
          <w:sz w:val="22"/>
        </w:rPr>
        <w:t>99.5%</w:t>
      </w:r>
      <w:r>
        <w:rPr>
          <w:sz w:val="22"/>
        </w:rPr>
        <w:t xml:space="preserve"> of all rows. Any metric that averages across </w:t>
      </w:r>
      <w:r>
        <w:rPr>
          <w:i/>
          <w:sz w:val="22"/>
        </w:rPr>
        <w:t>samples</w:t>
      </w:r>
      <w:r>
        <w:rPr>
          <w:sz w:val="22"/>
        </w:rPr>
        <w:t xml:space="preserve"> rather than across </w:t>
      </w:r>
      <w:r>
        <w:rPr>
          <w:i/>
          <w:sz w:val="22"/>
        </w:rPr>
        <w:t>classes</w:t>
      </w:r>
      <w:r>
        <w:rPr>
          <w:sz w:val="22"/>
        </w:rPr>
        <w:t xml:space="preserve"> will therefore be dominated by these four, and will be almost blind to the remaining three. This is the reason Section 4.7 reports </w:t>
      </w:r>
      <w:r>
        <w:rPr>
          <w:b/>
          <w:sz w:val="22"/>
        </w:rPr>
        <w:t>macro-averaged</w:t>
      </w:r>
      <w:r>
        <w:rPr>
          <w:sz w:val="22"/>
        </w:rPr>
        <w:t xml:space="preserve"> metrics as the headline result.</w:t>
      </w:r>
    </w:p>
    <w:p>
      <w:pPr>
        <w:spacing w:after="160" w:line="276" w:lineRule="auto"/>
        <w:jc w:val="both"/>
      </w:pPr>
      <w:r>
        <w:rPr>
          <w:sz w:val="22"/>
        </w:rPr>
        <w:t>Second, the two rarest classes — WEBATTACK and BOTNET — are precisely the two attack families a security analyst most needs help detecting, since both indicate a targeted intrusion rather than a noisy volumetric event.</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Class Distribution Bar Chart]</w:t>
      </w:r>
    </w:p>
    <w:p>
      <w:pPr>
        <w:spacing w:after="160" w:line="276" w:lineRule="auto"/>
        <w:jc w:val="both"/>
      </w:pPr>
      <w:r>
        <w:rPr>
          <w:i/>
          <w:sz w:val="22"/>
        </w:rPr>
        <w:t>(This figure is already produced by the training pipeline at `figures/class_distribution.png`.)</w:t>
      </w:r>
    </w:p>
    <w:p>
      <w:pPr>
        <w:pStyle w:val="Heading3"/>
        <w:spacing w:before="200" w:after="120"/>
      </w:pPr>
      <w:r>
        <w:rPr>
          <w:color w:val="1F3B73"/>
          <w:sz w:val="25"/>
        </w:rPr>
        <w:t>4.2.2 Stratified Sampling</w:t>
      </w:r>
    </w:p>
    <w:p>
      <w:pPr>
        <w:spacing w:after="160" w:line="276" w:lineRule="auto"/>
        <w:jc w:val="both"/>
      </w:pPr>
      <w:r>
        <w:rPr>
          <w:sz w:val="22"/>
        </w:rPr>
        <w:t xml:space="preserve">Training on all 2.5 million rows is unnecessary and computationally wasteful. The </w:t>
      </w:r>
      <w:r>
        <w:rPr>
          <w:rFonts w:ascii="Consolas" w:hAnsi="Consolas"/>
          <w:color w:val="24292E"/>
          <w:sz w:val="20"/>
        </w:rPr>
        <w:t>load_dataset()</w:t>
      </w:r>
      <w:r>
        <w:rPr>
          <w:sz w:val="22"/>
        </w:rPr>
        <w:t xml:space="preserve"> function in </w:t>
      </w:r>
      <w:r>
        <w:rPr>
          <w:rFonts w:ascii="Consolas" w:hAnsi="Consolas"/>
          <w:color w:val="24292E"/>
          <w:sz w:val="20"/>
        </w:rPr>
        <w:t>preprocess.py</w:t>
      </w:r>
      <w:r>
        <w:rPr>
          <w:sz w:val="22"/>
        </w:rPr>
        <w:t xml:space="preserve"> performs a single fast pass over the file to count labels, then samples a stratified subset with a default target of </w:t>
      </w:r>
      <w:r>
        <w:rPr>
          <w:b/>
          <w:sz w:val="22"/>
        </w:rPr>
        <w:t>500,000 rows</w:t>
      </w:r>
      <w:r>
        <w:rPr>
          <w:sz w:val="22"/>
        </w:rPr>
        <w:t>. The sampling budget applies:</w:t>
      </w:r>
    </w:p>
    <w:p>
      <w:pPr>
        <w:pStyle w:val="ListBullet"/>
        <w:spacing w:after="60"/>
      </w:pPr>
      <w:r>
        <w:rPr>
          <w:sz w:val="22"/>
        </w:rPr>
        <w:t xml:space="preserve">a hard </w:t>
      </w:r>
      <w:r>
        <w:rPr>
          <w:b/>
          <w:sz w:val="22"/>
        </w:rPr>
        <w:t>cap of 120,000 rows on BENIGN</w:t>
      </w:r>
      <w:r>
        <w:rPr>
          <w:sz w:val="22"/>
        </w:rPr>
        <w:t>, preventing the majority class from</w:t>
      </w:r>
    </w:p>
    <w:p>
      <w:pPr>
        <w:spacing w:after="160" w:line="276" w:lineRule="auto"/>
        <w:jc w:val="both"/>
      </w:pPr>
      <w:r>
        <w:rPr>
          <w:sz w:val="22"/>
        </w:rPr>
        <w:t>overwhelming the sample; and</w:t>
      </w:r>
    </w:p>
    <w:p>
      <w:pPr>
        <w:pStyle w:val="ListBullet"/>
        <w:spacing w:after="60"/>
      </w:pPr>
      <w:r>
        <w:rPr>
          <w:sz w:val="22"/>
        </w:rPr>
        <w:t xml:space="preserve">a </w:t>
      </w:r>
      <w:r>
        <w:rPr>
          <w:b/>
          <w:sz w:val="22"/>
        </w:rPr>
        <w:t>floor of 3,000 rows for minority classes</w:t>
      </w:r>
      <w:r>
        <w:rPr>
          <w:sz w:val="22"/>
        </w:rPr>
        <w:t>, ensuring rare attacks survive</w:t>
      </w:r>
    </w:p>
    <w:p>
      <w:pPr>
        <w:spacing w:after="160" w:line="276" w:lineRule="auto"/>
        <w:jc w:val="both"/>
      </w:pPr>
      <w:r>
        <w:rPr>
          <w:sz w:val="22"/>
        </w:rPr>
        <w:t>the reduction.</w:t>
      </w:r>
    </w:p>
    <w:p>
      <w:pPr>
        <w:spacing w:after="160" w:line="276" w:lineRule="auto"/>
        <w:jc w:val="both"/>
      </w:pPr>
      <w:r>
        <w:rPr>
          <w:sz w:val="22"/>
        </w:rPr>
        <w:t>This approach preserves the presence of every class while making training feasible on standard hardware.</w:t>
      </w:r>
    </w:p>
    <w:p>
      <w:pPr>
        <w:pStyle w:val="Heading3"/>
        <w:spacing w:before="200" w:after="120"/>
      </w:pPr>
      <w:r>
        <w:rPr>
          <w:color w:val="1F3B73"/>
          <w:sz w:val="25"/>
        </w:rPr>
        <w:t>4.2.3 Label Normalisation</w:t>
      </w:r>
    </w:p>
    <w:p>
      <w:pPr>
        <w:spacing w:after="160" w:line="276" w:lineRule="auto"/>
        <w:jc w:val="both"/>
      </w:pPr>
      <w:r>
        <w:rPr>
          <w:sz w:val="22"/>
        </w:rPr>
        <w:t xml:space="preserve">The </w:t>
      </w:r>
      <w:r>
        <w:rPr>
          <w:rFonts w:ascii="Consolas" w:hAnsi="Consolas"/>
          <w:color w:val="24292E"/>
          <w:sz w:val="20"/>
        </w:rPr>
        <w:t>normalize_labels()</w:t>
      </w:r>
      <w:r>
        <w:rPr>
          <w:sz w:val="22"/>
        </w:rPr>
        <w:t xml:space="preserve"> function maps the dataset's raw label strings onto seven canonical class names. A direct dictionary lookup handles the known labels; a keyword-based fallback (matching substrings such as </w:t>
      </w:r>
      <w:r>
        <w:rPr>
          <w:rFonts w:ascii="Consolas" w:hAnsi="Consolas"/>
          <w:color w:val="24292E"/>
          <w:sz w:val="20"/>
        </w:rPr>
        <w:t>BRUTE</w:t>
      </w:r>
      <w:r>
        <w:rPr>
          <w:sz w:val="22"/>
        </w:rPr>
        <w:t xml:space="preserve">, </w:t>
      </w:r>
      <w:r>
        <w:rPr>
          <w:rFonts w:ascii="Consolas" w:hAnsi="Consolas"/>
          <w:color w:val="24292E"/>
          <w:sz w:val="20"/>
        </w:rPr>
        <w:t>PATATOR</w:t>
      </w:r>
      <w:r>
        <w:rPr>
          <w:sz w:val="22"/>
        </w:rPr>
        <w:t xml:space="preserve">, </w:t>
      </w:r>
      <w:r>
        <w:rPr>
          <w:rFonts w:ascii="Consolas" w:hAnsi="Consolas"/>
          <w:color w:val="24292E"/>
          <w:sz w:val="20"/>
        </w:rPr>
        <w:t>SCAN</w:t>
      </w:r>
      <w:r>
        <w:rPr>
          <w:sz w:val="22"/>
        </w:rPr>
        <w:t xml:space="preserve">, </w:t>
      </w:r>
      <w:r>
        <w:rPr>
          <w:rFonts w:ascii="Consolas" w:hAnsi="Consolas"/>
          <w:color w:val="24292E"/>
          <w:sz w:val="20"/>
        </w:rPr>
        <w:t>XSS</w:t>
      </w:r>
      <w:r>
        <w:rPr>
          <w:sz w:val="22"/>
        </w:rPr>
        <w:t xml:space="preserve">) catches variant spellings. Rows whose label matches neither route are </w:t>
      </w:r>
      <w:r>
        <w:rPr>
          <w:b/>
          <w:sz w:val="22"/>
        </w:rPr>
        <w:t>dropped and counted</w:t>
      </w:r>
      <w:r>
        <w:rPr>
          <w:sz w:val="22"/>
        </w:rPr>
        <w:t>, rather than silently assigned to a default class — an important safeguard, since a misassigned label corrupts training in a way that is invisible in the final metrics.</w:t>
      </w:r>
    </w:p>
    <w:p>
      <w:pPr>
        <w:spacing w:after="160" w:line="276" w:lineRule="auto"/>
        <w:jc w:val="both"/>
      </w:pPr>
      <w:r>
        <w:rPr>
          <w:b/>
          <w:sz w:val="22"/>
        </w:rPr>
        <w:t>An important limitation is recorded here.</w:t>
      </w:r>
      <w:r>
        <w:rPr>
          <w:sz w:val="22"/>
        </w:rPr>
        <w:t xml:space="preserve"> The cleaned dataset contains </w:t>
      </w:r>
      <w:r>
        <w:rPr>
          <w:b/>
          <w:sz w:val="22"/>
        </w:rPr>
        <w:t>no infiltration records at all</w:t>
      </w:r>
      <w:r>
        <w:rPr>
          <w:sz w:val="22"/>
        </w:rPr>
        <w:t xml:space="preserve">. Consequently the system supports </w:t>
      </w:r>
      <w:r>
        <w:rPr>
          <w:b/>
          <w:sz w:val="22"/>
        </w:rPr>
        <w:t>seven classes, not eight</w:t>
      </w:r>
      <w:r>
        <w:rPr>
          <w:sz w:val="22"/>
        </w:rPr>
        <w:t>, and cannot detect infiltration or lateral movement regardless of model quality. This is a property of the training data, not of the architecture, and is listed as future work in Chapter 6.</w:t>
      </w:r>
    </w:p>
    <w:p>
      <w:pPr>
        <w:pStyle w:val="Heading3"/>
        <w:spacing w:before="200" w:after="120"/>
      </w:pPr>
      <w:r>
        <w:rPr>
          <w:color w:val="1F3B73"/>
          <w:sz w:val="25"/>
        </w:rPr>
        <w:t>4.2.4 Data Cleaning</w:t>
      </w:r>
    </w:p>
    <w:p>
      <w:pPr>
        <w:spacing w:after="160" w:line="276" w:lineRule="auto"/>
        <w:jc w:val="both"/>
      </w:pPr>
      <w:r>
        <w:rPr>
          <w:sz w:val="22"/>
        </w:rPr>
        <w:t xml:space="preserve">The </w:t>
      </w:r>
      <w:r>
        <w:rPr>
          <w:rFonts w:ascii="Consolas" w:hAnsi="Consolas"/>
          <w:color w:val="24292E"/>
          <w:sz w:val="20"/>
        </w:rPr>
        <w:t>clean_data()</w:t>
      </w:r>
      <w:r>
        <w:rPr>
          <w:sz w:val="22"/>
        </w:rPr>
        <w:t xml:space="preserve"> function performs four operations in sequence:</w:t>
      </w:r>
    </w:p>
    <w:p>
      <w:pPr>
        <w:pStyle w:val="ListNumber"/>
        <w:spacing w:after="60"/>
      </w:pPr>
      <w:r>
        <w:rPr>
          <w:b/>
          <w:sz w:val="22"/>
        </w:rPr>
        <w:t>Column-name normalisation</w:t>
      </w:r>
      <w:r>
        <w:rPr>
          <w:sz w:val="22"/>
        </w:rPr>
        <w:t xml:space="preserve"> — surrounding whitespace is stripped, since</w:t>
      </w:r>
    </w:p>
    <w:p>
      <w:pPr>
        <w:spacing w:after="160" w:line="276" w:lineRule="auto"/>
        <w:jc w:val="both"/>
      </w:pPr>
      <w:r>
        <w:rPr>
          <w:sz w:val="22"/>
        </w:rPr>
        <w:t>several CICIDS2017 distributions ship headers with leading spaces.</w:t>
      </w:r>
    </w:p>
    <w:p>
      <w:pPr>
        <w:pStyle w:val="ListNumber"/>
        <w:spacing w:after="60"/>
      </w:pPr>
      <w:r>
        <w:rPr>
          <w:b/>
          <w:sz w:val="22"/>
        </w:rPr>
        <w:t>Numeric coercion</w:t>
      </w:r>
      <w:r>
        <w:rPr>
          <w:sz w:val="22"/>
        </w:rPr>
        <w:t xml:space="preserve"> — every feature column is forced to a numeric type; values</w:t>
      </w:r>
    </w:p>
    <w:p>
      <w:pPr>
        <w:spacing w:after="160" w:line="276" w:lineRule="auto"/>
        <w:jc w:val="both"/>
      </w:pPr>
      <w:r>
        <w:rPr>
          <w:sz w:val="22"/>
        </w:rPr>
        <w:t xml:space="preserve">that cannot be parsed become </w:t>
      </w:r>
      <w:r>
        <w:rPr>
          <w:rFonts w:ascii="Consolas" w:hAnsi="Consolas"/>
          <w:color w:val="24292E"/>
          <w:sz w:val="20"/>
        </w:rPr>
        <w:t>NaN</w:t>
      </w:r>
      <w:r>
        <w:rPr>
          <w:sz w:val="22"/>
        </w:rPr>
        <w:t>.</w:t>
      </w:r>
    </w:p>
    <w:p>
      <w:pPr>
        <w:pStyle w:val="ListNumber"/>
        <w:spacing w:after="60"/>
      </w:pPr>
      <w:r>
        <w:rPr>
          <w:b/>
          <w:sz w:val="22"/>
        </w:rPr>
        <w:t>Infinite and missing value handling</w:t>
      </w:r>
      <w:r>
        <w:rPr>
          <w:sz w:val="22"/>
        </w:rPr>
        <w:t xml:space="preserve"> — flow-rate features such as</w:t>
      </w:r>
    </w:p>
    <w:p>
      <w:pPr>
        <w:spacing w:after="160" w:line="276" w:lineRule="auto"/>
        <w:jc w:val="both"/>
      </w:pPr>
      <w:r>
        <w:rPr>
          <w:rFonts w:ascii="Consolas" w:hAnsi="Consolas"/>
          <w:color w:val="24292E"/>
          <w:sz w:val="20"/>
        </w:rPr>
        <w:t>Flow Bytes/s</w:t>
      </w:r>
      <w:r>
        <w:rPr>
          <w:sz w:val="22"/>
        </w:rPr>
        <w:t xml:space="preserve"> are undefined for a single-packet flow and appear as infinity. These are replaced with </w:t>
      </w:r>
      <w:r>
        <w:rPr>
          <w:rFonts w:ascii="Consolas" w:hAnsi="Consolas"/>
          <w:color w:val="24292E"/>
          <w:sz w:val="20"/>
        </w:rPr>
        <w:t>NaN</w:t>
      </w:r>
      <w:r>
        <w:rPr>
          <w:sz w:val="22"/>
        </w:rPr>
        <w:t xml:space="preserve"> and then filled with the </w:t>
      </w:r>
      <w:r>
        <w:rPr>
          <w:b/>
          <w:sz w:val="22"/>
        </w:rPr>
        <w:t>column median</w:t>
      </w:r>
      <w:r>
        <w:rPr>
          <w:sz w:val="22"/>
        </w:rPr>
        <w:t>. The median is chosen over the mean because these features are heavily right-skewed; a mean would be dragged toward a value no real flow ever takes.</w:t>
      </w:r>
    </w:p>
    <w:p>
      <w:pPr>
        <w:pStyle w:val="ListNumber"/>
        <w:spacing w:after="60"/>
      </w:pPr>
      <w:r>
        <w:rPr>
          <w:b/>
          <w:sz w:val="22"/>
        </w:rPr>
        <w:t>Duplicate removal</w:t>
      </w:r>
      <w:r>
        <w:rPr>
          <w:sz w:val="22"/>
        </w:rPr>
        <w:t xml:space="preserve"> — exact duplicate rows are dropped.</w:t>
      </w:r>
    </w:p>
    <w:p>
      <w:pPr>
        <w:pStyle w:val="Heading3"/>
        <w:spacing w:before="200" w:after="120"/>
      </w:pPr>
      <w:r>
        <w:rPr>
          <w:color w:val="1F3B73"/>
          <w:sz w:val="25"/>
        </w:rPr>
        <w:t>4.2.5 Feature Selection</w:t>
      </w:r>
    </w:p>
    <w:p>
      <w:pPr>
        <w:spacing w:after="160" w:line="276" w:lineRule="auto"/>
        <w:jc w:val="both"/>
      </w:pPr>
      <w:r>
        <w:rPr>
          <w:sz w:val="22"/>
        </w:rPr>
        <w:t xml:space="preserve">Feature selection reduces the 52 raw features to a smaller, more informative set. The </w:t>
      </w:r>
      <w:r>
        <w:rPr>
          <w:rFonts w:ascii="Consolas" w:hAnsi="Consolas"/>
          <w:color w:val="24292E"/>
          <w:sz w:val="20"/>
        </w:rPr>
        <w:t>select_features()</w:t>
      </w:r>
      <w:r>
        <w:rPr>
          <w:sz w:val="22"/>
        </w:rPr>
        <w:t xml:space="preserve"> function uses a </w:t>
      </w:r>
      <w:r>
        <w:rPr>
          <w:b/>
          <w:sz w:val="22"/>
        </w:rPr>
        <w:t>combined ranking</w:t>
      </w:r>
      <w:r>
        <w:rPr>
          <w:sz w:val="22"/>
        </w:rPr>
        <w:t xml:space="preserve"> rather than a single statistical test:</w:t>
      </w:r>
    </w:p>
    <w:p>
      <w:pPr>
        <w:pStyle w:val="ListBullet"/>
        <w:spacing w:after="60"/>
      </w:pPr>
      <w:r>
        <w:rPr>
          <w:b/>
          <w:sz w:val="22"/>
        </w:rPr>
        <w:t>ANOVA F-score</w:t>
      </w:r>
      <w:r>
        <w:rPr>
          <w:sz w:val="22"/>
        </w:rPr>
        <w:t xml:space="preserve"> measures how strongly each feature separates the classes</w:t>
      </w:r>
    </w:p>
    <w:p>
      <w:pPr>
        <w:spacing w:after="160" w:line="276" w:lineRule="auto"/>
        <w:jc w:val="both"/>
      </w:pPr>
      <w:r>
        <w:rPr>
          <w:sz w:val="22"/>
        </w:rPr>
        <w:t>linearly.</w:t>
      </w:r>
    </w:p>
    <w:p>
      <w:pPr>
        <w:pStyle w:val="ListBullet"/>
        <w:spacing w:after="60"/>
      </w:pPr>
      <w:r>
        <w:rPr>
          <w:b/>
          <w:sz w:val="22"/>
        </w:rPr>
        <w:t>Mutual Information</w:t>
      </w:r>
      <w:r>
        <w:rPr>
          <w:sz w:val="22"/>
        </w:rPr>
        <w:t xml:space="preserve"> measures statistical dependence between feature and label,</w:t>
      </w:r>
    </w:p>
    <w:p>
      <w:pPr>
        <w:spacing w:after="160" w:line="276" w:lineRule="auto"/>
        <w:jc w:val="both"/>
      </w:pPr>
      <w:r>
        <w:rPr>
          <w:sz w:val="22"/>
        </w:rPr>
        <w:t>including non-linear relationships. It is computed on a 30,000-row subsample for tractability.</w:t>
      </w:r>
    </w:p>
    <w:p>
      <w:pPr>
        <w:spacing w:after="160" w:line="276" w:lineRule="auto"/>
        <w:jc w:val="both"/>
      </w:pPr>
      <w:r>
        <w:rPr>
          <w:sz w:val="22"/>
        </w:rPr>
        <w:t xml:space="preserve">Both score vectors are min-max normalised to a common 0–1 range and averaged, and the </w:t>
      </w:r>
      <w:r>
        <w:rPr>
          <w:b/>
          <w:sz w:val="22"/>
        </w:rPr>
        <w:t>top 40</w:t>
      </w:r>
      <w:r>
        <w:rPr>
          <w:sz w:val="22"/>
        </w:rPr>
        <w:t xml:space="preserve"> features by combined score are selected. Using two complementary criteria avoids the failure mode of either used alone: ANOVA misses non-linear relationships, while Mutual Information is noisier on small samples.</w:t>
      </w:r>
    </w:p>
    <w:p>
      <w:pPr>
        <w:spacing w:after="160" w:line="276" w:lineRule="auto"/>
        <w:jc w:val="both"/>
      </w:pPr>
      <w:r>
        <w:rPr>
          <w:sz w:val="22"/>
        </w:rPr>
        <w:t xml:space="preserve">A </w:t>
      </w:r>
      <w:r>
        <w:rPr>
          <w:b/>
          <w:sz w:val="22"/>
        </w:rPr>
        <w:t>domain-knowledge override</w:t>
      </w:r>
      <w:r>
        <w:rPr>
          <w:sz w:val="22"/>
        </w:rPr>
        <w:t xml:space="preserve"> is then applied. A list of 19 </w:t>
      </w:r>
      <w:r>
        <w:rPr>
          <w:rFonts w:ascii="Consolas" w:hAnsi="Consolas"/>
          <w:color w:val="24292E"/>
          <w:sz w:val="20"/>
        </w:rPr>
        <w:t>ZEEK_PRIORITY_FEATURES</w:t>
      </w:r>
      <w:r>
        <w:rPr>
          <w:sz w:val="22"/>
        </w:rPr>
        <w:t xml:space="preserve"> — features that can be derived from live network telemetry — is force-included if not already selected. This is a deliberate engineering trade-off: a marginally less statistically optimal feature set that can actually be computed from live traffic is more valuable than an optimal set that cannot. After this step the final feature count is </w:t>
      </w:r>
      <w:r>
        <w:rPr>
          <w:b/>
          <w:sz w:val="22"/>
        </w:rPr>
        <w:t>42</w:t>
      </w:r>
      <w:r>
        <w:rPr>
          <w:sz w:val="22"/>
        </w:rPr>
        <w:t>.</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Feature Importance — Top 20 Features]</w:t>
      </w:r>
    </w:p>
    <w:p>
      <w:pPr>
        <w:spacing w:after="160" w:line="276" w:lineRule="auto"/>
        <w:jc w:val="both"/>
      </w:pPr>
      <w:r>
        <w:rPr>
          <w:i/>
          <w:sz w:val="22"/>
        </w:rPr>
        <w:t>(Available at `figures/fi_RandomForest.png`.)</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Table: Final 42 Selected Features]</w:t>
      </w:r>
    </w:p>
    <w:p>
      <w:pPr>
        <w:spacing w:after="160" w:line="276" w:lineRule="auto"/>
        <w:jc w:val="both"/>
      </w:pPr>
      <w:r>
        <w:rPr>
          <w:i/>
          <w:sz w:val="22"/>
        </w:rPr>
        <w:t>(The full ordered list appears in `artifacts/feature_columns.json` and at the end of `artifacts/evaluation_report.txt`.)</w:t>
      </w:r>
    </w:p>
    <w:p>
      <w:pPr>
        <w:pStyle w:val="Heading3"/>
        <w:spacing w:before="200" w:after="120"/>
      </w:pPr>
      <w:r>
        <w:rPr>
          <w:color w:val="1F3B73"/>
          <w:sz w:val="25"/>
        </w:rPr>
        <w:t>4.2.6 Class Balancing, Scaling and Splitting</w:t>
      </w:r>
    </w:p>
    <w:p>
      <w:pPr>
        <w:spacing w:after="160" w:line="276" w:lineRule="auto"/>
        <w:jc w:val="both"/>
      </w:pPr>
      <w:r>
        <w:rPr>
          <w:sz w:val="22"/>
        </w:rPr>
        <w:t>The order of these final three operations matters and was chosen carefully:</w:t>
      </w:r>
    </w:p>
    <w:p>
      <w:pPr>
        <w:pStyle w:val="ListNumber"/>
        <w:spacing w:after="60"/>
      </w:pPr>
      <w:r>
        <w:rPr>
          <w:b/>
          <w:sz w:val="22"/>
        </w:rPr>
        <w:t>Stratified train/test split (80/20)</w:t>
      </w:r>
      <w:r>
        <w:rPr>
          <w:sz w:val="22"/>
        </w:rPr>
        <w:t xml:space="preserve"> is performed </w:t>
      </w:r>
      <w:r>
        <w:rPr>
          <w:b/>
          <w:sz w:val="22"/>
        </w:rPr>
        <w:t>first</w:t>
      </w:r>
      <w:r>
        <w:rPr>
          <w:sz w:val="22"/>
        </w:rPr>
        <w:t>, producing a test</w:t>
      </w:r>
    </w:p>
    <w:p>
      <w:pPr>
        <w:spacing w:after="160" w:line="276" w:lineRule="auto"/>
        <w:jc w:val="both"/>
      </w:pPr>
      <w:r>
        <w:rPr>
          <w:sz w:val="22"/>
        </w:rPr>
        <w:t xml:space="preserve">set of </w:t>
      </w:r>
      <w:r>
        <w:rPr>
          <w:b/>
          <w:sz w:val="22"/>
        </w:rPr>
        <w:t>100,088 samples</w:t>
      </w:r>
      <w:r>
        <w:rPr>
          <w:sz w:val="22"/>
        </w:rPr>
        <w:t>. Splitting before balancing ensures the test set retains the natural, imbalanced class distribution — so reported performance reflects realistic operating conditions rather than an artificially easy problem.</w:t>
      </w:r>
    </w:p>
    <w:p>
      <w:pPr>
        <w:pStyle w:val="ListNumber"/>
        <w:spacing w:after="60"/>
      </w:pPr>
      <w:r>
        <w:rPr>
          <w:b/>
          <w:sz w:val="22"/>
        </w:rPr>
        <w:t>StandardScaler is fitted on the training set only</w:t>
      </w:r>
      <w:r>
        <w:rPr>
          <w:sz w:val="22"/>
        </w:rPr>
        <w:t>, then applied to both</w:t>
      </w:r>
    </w:p>
    <w:p>
      <w:pPr>
        <w:spacing w:after="160" w:line="276" w:lineRule="auto"/>
        <w:jc w:val="both"/>
      </w:pPr>
      <w:r>
        <w:rPr>
          <w:sz w:val="22"/>
        </w:rPr>
        <w:t>splits. Fitting on the full dataset would leak information about the test distribution into the model, inflating results.</w:t>
      </w:r>
    </w:p>
    <w:p>
      <w:pPr>
        <w:pStyle w:val="ListNumber"/>
        <w:spacing w:after="60"/>
      </w:pPr>
      <w:r>
        <w:rPr>
          <w:b/>
          <w:sz w:val="22"/>
        </w:rPr>
        <w:t>Hybrid class balancing</w:t>
      </w:r>
      <w:r>
        <w:rPr>
          <w:sz w:val="22"/>
        </w:rPr>
        <w:t xml:space="preserve"> is applied to the </w:t>
      </w:r>
      <w:r>
        <w:rPr>
          <w:b/>
          <w:sz w:val="22"/>
        </w:rPr>
        <w:t>training set only</w:t>
      </w:r>
      <w:r>
        <w:rPr>
          <w:sz w:val="22"/>
        </w:rPr>
        <w:t>, capping</w:t>
      </w:r>
    </w:p>
    <w:p>
      <w:pPr>
        <w:spacing w:after="160" w:line="276" w:lineRule="auto"/>
        <w:jc w:val="both"/>
      </w:pPr>
      <w:r>
        <w:rPr>
          <w:sz w:val="22"/>
        </w:rPr>
        <w:t>BENIGN at 80,000 samples and oversampling minority classes to a floor of 2,000.</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Class Distribution Before and After Balancing]</w:t>
      </w:r>
    </w:p>
    <w:p>
      <w:pPr>
        <w:spacing w:before="40" w:after="40"/>
        <w:pBdr>
          <w:bottom w:val="single" w:sz="6" w:space="1" w:color="BBBBBB"/>
        </w:pBdr>
      </w:pPr>
    </w:p>
    <w:p>
      <w:pPr>
        <w:pStyle w:val="Heading2"/>
        <w:spacing w:before="280" w:after="120"/>
      </w:pPr>
      <w:r>
        <w:rPr>
          <w:color w:val="1F3B73"/>
          <w:sz w:val="30"/>
        </w:rPr>
        <w:t>4.3 Development Process and System Architecture</w:t>
      </w:r>
    </w:p>
    <w:p>
      <w:pPr>
        <w:spacing w:after="160" w:line="276" w:lineRule="auto"/>
        <w:jc w:val="both"/>
      </w:pPr>
      <w:r>
        <w:rPr>
          <w:sz w:val="22"/>
        </w:rPr>
        <w:t>The platform was developed incrementally in six phases, each producing a testable artefact before the next began.</w:t>
      </w:r>
    </w:p>
    <w:p>
      <w:pPr>
        <w:pStyle w:val="Heading3"/>
        <w:spacing w:before="200" w:after="120"/>
      </w:pPr>
      <w:r>
        <w:rPr>
          <w:color w:val="1F3B73"/>
          <w:sz w:val="25"/>
        </w:rPr>
        <w:t>4.3.1 Phase 1 — Machine Learning Core</w:t>
      </w:r>
    </w:p>
    <w:p>
      <w:pPr>
        <w:spacing w:after="160" w:line="276" w:lineRule="auto"/>
        <w:jc w:val="both"/>
      </w:pPr>
      <w:r>
        <w:rPr>
          <w:sz w:val="22"/>
        </w:rPr>
        <w:t>The first phase produced the preprocessing pipeline (</w:t>
      </w:r>
      <w:r>
        <w:rPr>
          <w:rFonts w:ascii="Consolas" w:hAnsi="Consolas"/>
          <w:color w:val="24292E"/>
          <w:sz w:val="20"/>
        </w:rPr>
        <w:t>preprocess.py</w:t>
      </w:r>
      <w:r>
        <w:rPr>
          <w:sz w:val="22"/>
        </w:rPr>
        <w:t>), the training pipeline (</w:t>
      </w:r>
      <w:r>
        <w:rPr>
          <w:rFonts w:ascii="Consolas" w:hAnsi="Consolas"/>
          <w:color w:val="24292E"/>
          <w:sz w:val="20"/>
        </w:rPr>
        <w:t>train.py</w:t>
      </w:r>
      <w:r>
        <w:rPr>
          <w:sz w:val="22"/>
        </w:rPr>
        <w:t>) and a serving module (</w:t>
      </w:r>
      <w:r>
        <w:rPr>
          <w:rFonts w:ascii="Consolas" w:hAnsi="Consolas"/>
          <w:color w:val="24292E"/>
          <w:sz w:val="20"/>
        </w:rPr>
        <w:t>inference.py</w:t>
      </w:r>
      <w:r>
        <w:rPr>
          <w:sz w:val="22"/>
        </w:rPr>
        <w:t>). The output of this phase is a set of serialised artefacts:</w:t>
      </w:r>
    </w:p>
    <w:tbl>
      <w:tblPr>
        <w:tblStyle w:val="TableGrid"/>
        <w:tblW w:type="auto" w:w="0"/>
        <w:jc w:val="center"/>
        <w:tblLayout w:type="autofit"/>
        <w:tblLook w:firstColumn="1" w:firstRow="1" w:lastColumn="0" w:lastRow="0" w:noHBand="0" w:noVBand="1" w:val="04A0"/>
      </w:tblPr>
      <w:tblGrid>
        <w:gridCol w:w="4514"/>
        <w:gridCol w:w="4514"/>
      </w:tblGrid>
      <w:tr>
        <w:trPr>
          <w:tblHeader w:val="true"/>
        </w:trPr>
        <w:tc>
          <w:tcPr>
            <w:tcW w:type="dxa" w:w="4514"/>
            <w:shd w:val="clear" w:color="auto" w:fill="1F3B73"/>
          </w:tcPr>
          <w:p>
            <w:pPr>
              <w:spacing w:before="40" w:after="40"/>
            </w:pPr>
            <w:r/>
            <w:r>
              <w:rPr>
                <w:b/>
                <w:color w:val="FFFFFF"/>
                <w:sz w:val="19"/>
              </w:rPr>
              <w:t>Artefact</w:t>
            </w:r>
          </w:p>
        </w:tc>
        <w:tc>
          <w:tcPr>
            <w:tcW w:type="dxa" w:w="4514"/>
            <w:shd w:val="clear" w:color="auto" w:fill="1F3B73"/>
          </w:tcPr>
          <w:p>
            <w:pPr>
              <w:spacing w:before="40" w:after="40"/>
            </w:pPr>
            <w:r/>
            <w:r>
              <w:rPr>
                <w:b/>
                <w:color w:val="FFFFFF"/>
                <w:sz w:val="19"/>
              </w:rPr>
              <w:t>Contents</w:t>
            </w:r>
          </w:p>
        </w:tc>
      </w:tr>
      <w:tr>
        <w:tc>
          <w:tcPr>
            <w:tcW w:type="dxa" w:w="4514"/>
          </w:tcPr>
          <w:p>
            <w:pPr>
              <w:spacing w:before="40" w:after="40"/>
            </w:pPr>
            <w:r/>
            <w:r>
              <w:rPr>
                <w:rFonts w:ascii="Consolas" w:hAnsi="Consolas"/>
                <w:color w:val="24292E"/>
                <w:sz w:val="17"/>
              </w:rPr>
              <w:t>model_&lt;name&gt;.pkl</w:t>
            </w:r>
          </w:p>
        </w:tc>
        <w:tc>
          <w:tcPr>
            <w:tcW w:type="dxa" w:w="4514"/>
          </w:tcPr>
          <w:p>
            <w:pPr>
              <w:spacing w:before="40" w:after="40"/>
            </w:pPr>
            <w:r/>
            <w:r>
              <w:rPr>
                <w:sz w:val="19"/>
              </w:rPr>
              <w:t>Each trained classifier</w:t>
            </w:r>
          </w:p>
        </w:tc>
      </w:tr>
      <w:tr>
        <w:tc>
          <w:tcPr>
            <w:tcW w:type="dxa" w:w="4514"/>
          </w:tcPr>
          <w:p>
            <w:pPr>
              <w:spacing w:before="40" w:after="40"/>
            </w:pPr>
            <w:r/>
            <w:r>
              <w:rPr>
                <w:rFonts w:ascii="Consolas" w:hAnsi="Consolas"/>
                <w:color w:val="24292E"/>
                <w:sz w:val="17"/>
              </w:rPr>
              <w:t>scaler.pkl</w:t>
            </w:r>
          </w:p>
        </w:tc>
        <w:tc>
          <w:tcPr>
            <w:tcW w:type="dxa" w:w="4514"/>
          </w:tcPr>
          <w:p>
            <w:pPr>
              <w:spacing w:before="40" w:after="40"/>
            </w:pPr>
            <w:r/>
            <w:r>
              <w:rPr>
                <w:sz w:val="19"/>
              </w:rPr>
              <w:t>The fitted StandardScaler</w:t>
            </w:r>
          </w:p>
        </w:tc>
      </w:tr>
      <w:tr>
        <w:tc>
          <w:tcPr>
            <w:tcW w:type="dxa" w:w="4514"/>
          </w:tcPr>
          <w:p>
            <w:pPr>
              <w:spacing w:before="40" w:after="40"/>
            </w:pPr>
            <w:r/>
            <w:r>
              <w:rPr>
                <w:rFonts w:ascii="Consolas" w:hAnsi="Consolas"/>
                <w:color w:val="24292E"/>
                <w:sz w:val="17"/>
              </w:rPr>
              <w:t>label_encoder.pkl</w:t>
            </w:r>
          </w:p>
        </w:tc>
        <w:tc>
          <w:tcPr>
            <w:tcW w:type="dxa" w:w="4514"/>
          </w:tcPr>
          <w:p>
            <w:pPr>
              <w:spacing w:before="40" w:after="40"/>
            </w:pPr>
            <w:r/>
            <w:r>
              <w:rPr>
                <w:sz w:val="19"/>
              </w:rPr>
              <w:t>The class-name ↔ integer mapping</w:t>
            </w:r>
          </w:p>
        </w:tc>
      </w:tr>
      <w:tr>
        <w:tc>
          <w:tcPr>
            <w:tcW w:type="dxa" w:w="4514"/>
          </w:tcPr>
          <w:p>
            <w:pPr>
              <w:spacing w:before="40" w:after="40"/>
            </w:pPr>
            <w:r/>
            <w:r>
              <w:rPr>
                <w:rFonts w:ascii="Consolas" w:hAnsi="Consolas"/>
                <w:color w:val="24292E"/>
                <w:sz w:val="17"/>
              </w:rPr>
              <w:t>feature_columns.json</w:t>
            </w:r>
          </w:p>
        </w:tc>
        <w:tc>
          <w:tcPr>
            <w:tcW w:type="dxa" w:w="4514"/>
          </w:tcPr>
          <w:p>
            <w:pPr>
              <w:spacing w:before="40" w:after="40"/>
            </w:pPr>
            <w:r/>
            <w:r>
              <w:rPr>
                <w:sz w:val="19"/>
              </w:rPr>
              <w:t>The ordered list of 42 expected features</w:t>
            </w:r>
          </w:p>
        </w:tc>
      </w:tr>
      <w:tr>
        <w:tc>
          <w:tcPr>
            <w:tcW w:type="dxa" w:w="4514"/>
          </w:tcPr>
          <w:p>
            <w:pPr>
              <w:spacing w:before="40" w:after="40"/>
            </w:pPr>
            <w:r/>
            <w:r>
              <w:rPr>
                <w:rFonts w:ascii="Consolas" w:hAnsi="Consolas"/>
                <w:color w:val="24292E"/>
                <w:sz w:val="17"/>
              </w:rPr>
              <w:t>iforest.pkl</w:t>
            </w:r>
            <w:r>
              <w:rPr>
                <w:sz w:val="19"/>
              </w:rPr>
              <w:t xml:space="preserve">, </w:t>
            </w:r>
            <w:r>
              <w:rPr>
                <w:rFonts w:ascii="Consolas" w:hAnsi="Consolas"/>
                <w:color w:val="24292E"/>
                <w:sz w:val="17"/>
              </w:rPr>
              <w:t>autoencoder.pkl</w:t>
            </w:r>
          </w:p>
        </w:tc>
        <w:tc>
          <w:tcPr>
            <w:tcW w:type="dxa" w:w="4514"/>
          </w:tcPr>
          <w:p>
            <w:pPr>
              <w:spacing w:before="40" w:after="40"/>
            </w:pPr>
            <w:r/>
            <w:r>
              <w:rPr>
                <w:sz w:val="19"/>
              </w:rPr>
              <w:t>The unsupervised anomaly layer</w:t>
            </w:r>
          </w:p>
        </w:tc>
      </w:tr>
      <w:tr>
        <w:tc>
          <w:tcPr>
            <w:tcW w:type="dxa" w:w="4514"/>
          </w:tcPr>
          <w:p>
            <w:pPr>
              <w:spacing w:before="40" w:after="40"/>
            </w:pPr>
            <w:r/>
            <w:r>
              <w:rPr>
                <w:rFonts w:ascii="Consolas" w:hAnsi="Consolas"/>
                <w:color w:val="24292E"/>
                <w:sz w:val="17"/>
              </w:rPr>
              <w:t>anomaly_thresholds.json</w:t>
            </w:r>
          </w:p>
        </w:tc>
        <w:tc>
          <w:tcPr>
            <w:tcW w:type="dxa" w:w="4514"/>
          </w:tcPr>
          <w:p>
            <w:pPr>
              <w:spacing w:before="40" w:after="40"/>
            </w:pPr>
            <w:r/>
            <w:r>
              <w:rPr>
                <w:sz w:val="19"/>
              </w:rPr>
              <w:t>Decision thresholds for the anomaly layer</w:t>
            </w:r>
          </w:p>
        </w:tc>
      </w:tr>
      <w:tr>
        <w:tc>
          <w:tcPr>
            <w:tcW w:type="dxa" w:w="4514"/>
          </w:tcPr>
          <w:p>
            <w:pPr>
              <w:spacing w:before="40" w:after="40"/>
            </w:pPr>
            <w:r/>
            <w:r>
              <w:rPr>
                <w:rFonts w:ascii="Consolas" w:hAnsi="Consolas"/>
                <w:color w:val="24292E"/>
                <w:sz w:val="17"/>
              </w:rPr>
              <w:t>manifest.json</w:t>
            </w:r>
          </w:p>
        </w:tc>
        <w:tc>
          <w:tcPr>
            <w:tcW w:type="dxa" w:w="4514"/>
          </w:tcPr>
          <w:p>
            <w:pPr>
              <w:spacing w:before="40" w:after="40"/>
            </w:pPr>
            <w:r/>
            <w:r>
              <w:rPr>
                <w:sz w:val="19"/>
              </w:rPr>
              <w:t>Which model is served, and the provenance of the run</w:t>
            </w:r>
          </w:p>
        </w:tc>
      </w:tr>
    </w:tbl>
    <w:p>
      <w:pPr>
        <w:spacing w:after="80"/>
      </w:pP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Terminal output of python train.py showing model training progress and per-model evaluation]</w:t>
      </w:r>
    </w:p>
    <w:p>
      <w:pPr>
        <w:pStyle w:val="Heading3"/>
        <w:spacing w:before="200" w:after="120"/>
      </w:pPr>
      <w:r>
        <w:rPr>
          <w:color w:val="1F3B73"/>
          <w:sz w:val="25"/>
        </w:rPr>
        <w:t>4.3.2 Phase 2 — Domain Model</w:t>
      </w:r>
    </w:p>
    <w:p>
      <w:pPr>
        <w:spacing w:after="160" w:line="276" w:lineRule="auto"/>
        <w:jc w:val="both"/>
      </w:pPr>
      <w:r>
        <w:rPr>
          <w:sz w:val="22"/>
        </w:rPr>
        <w:t xml:space="preserve">Rather than passing untyped dictionaries between components, a strict domain model was defined using </w:t>
      </w:r>
      <w:r>
        <w:rPr>
          <w:b/>
          <w:sz w:val="22"/>
        </w:rPr>
        <w:t>Pydantic v2</w:t>
      </w:r>
      <w:r>
        <w:rPr>
          <w:sz w:val="22"/>
        </w:rPr>
        <w:t xml:space="preserve"> schemas in </w:t>
      </w:r>
      <w:r>
        <w:rPr>
          <w:rFonts w:ascii="Consolas" w:hAnsi="Consolas"/>
          <w:color w:val="24292E"/>
          <w:sz w:val="20"/>
        </w:rPr>
        <w:t>cyber_surakshya/platform/</w:t>
      </w:r>
      <w:r>
        <w:rPr>
          <w:sz w:val="22"/>
        </w:rPr>
        <w:t xml:space="preserve">. Every schema sets </w:t>
      </w:r>
      <w:r>
        <w:rPr>
          <w:rFonts w:ascii="Consolas" w:hAnsi="Consolas"/>
          <w:color w:val="24292E"/>
          <w:sz w:val="20"/>
        </w:rPr>
        <w:t>extra="forbid"</w:t>
      </w:r>
      <w:r>
        <w:rPr>
          <w:sz w:val="22"/>
        </w:rPr>
        <w:t xml:space="preserve">, meaning an unexpected field raises an error rather than being silently ignored. The core schemas are </w:t>
      </w:r>
      <w:r>
        <w:rPr>
          <w:rFonts w:ascii="Consolas" w:hAnsi="Consolas"/>
          <w:color w:val="24292E"/>
          <w:sz w:val="20"/>
        </w:rPr>
        <w:t>SecurityEvent</w:t>
      </w:r>
      <w:r>
        <w:rPr>
          <w:sz w:val="22"/>
        </w:rPr>
        <w:t xml:space="preserve">, </w:t>
      </w:r>
      <w:r>
        <w:rPr>
          <w:rFonts w:ascii="Consolas" w:hAnsi="Consolas"/>
          <w:color w:val="24292E"/>
          <w:sz w:val="20"/>
        </w:rPr>
        <w:t>DetectionResult</w:t>
      </w:r>
      <w:r>
        <w:rPr>
          <w:sz w:val="22"/>
        </w:rPr>
        <w:t xml:space="preserve">, </w:t>
      </w:r>
      <w:r>
        <w:rPr>
          <w:rFonts w:ascii="Consolas" w:hAnsi="Consolas"/>
          <w:color w:val="24292E"/>
          <w:sz w:val="20"/>
        </w:rPr>
        <w:t>AnalysisResult</w:t>
      </w:r>
      <w:r>
        <w:rPr>
          <w:sz w:val="22"/>
        </w:rPr>
        <w:t xml:space="preserve">, </w:t>
      </w:r>
      <w:r>
        <w:rPr>
          <w:rFonts w:ascii="Consolas" w:hAnsi="Consolas"/>
          <w:color w:val="24292E"/>
          <w:sz w:val="20"/>
        </w:rPr>
        <w:t>DecisionResult</w:t>
      </w:r>
      <w:r>
        <w:rPr>
          <w:sz w:val="22"/>
        </w:rPr>
        <w:t xml:space="preserve"> and </w:t>
      </w:r>
      <w:r>
        <w:rPr>
          <w:rFonts w:ascii="Consolas" w:hAnsi="Consolas"/>
          <w:color w:val="24292E"/>
          <w:sz w:val="20"/>
        </w:rPr>
        <w:t>ResponseResult</w:t>
      </w:r>
      <w:r>
        <w:rPr>
          <w:sz w:val="22"/>
        </w:rPr>
        <w:t>.</w:t>
      </w:r>
    </w:p>
    <w:p>
      <w:pPr>
        <w:spacing w:after="160" w:line="276" w:lineRule="auto"/>
        <w:jc w:val="both"/>
      </w:pPr>
      <w:r>
        <w:rPr>
          <w:sz w:val="22"/>
        </w:rPr>
        <w:t xml:space="preserve">These schemas also carry </w:t>
      </w:r>
      <w:r>
        <w:rPr>
          <w:b/>
          <w:sz w:val="22"/>
        </w:rPr>
        <w:t>invariants</w:t>
      </w:r>
      <w:r>
        <w:rPr>
          <w:sz w:val="22"/>
        </w:rPr>
        <w:t xml:space="preserve"> — rules the data must always satisfy. For example, </w:t>
      </w:r>
      <w:r>
        <w:rPr>
          <w:rFonts w:ascii="Consolas" w:hAnsi="Consolas"/>
          <w:color w:val="24292E"/>
          <w:sz w:val="20"/>
        </w:rPr>
        <w:t>DetectionResult</w:t>
      </w:r>
      <w:r>
        <w:rPr>
          <w:sz w:val="22"/>
        </w:rPr>
        <w:t xml:space="preserve"> rejects any record where the status is </w:t>
      </w:r>
      <w:r>
        <w:rPr>
          <w:rFonts w:ascii="Consolas" w:hAnsi="Consolas"/>
          <w:color w:val="24292E"/>
          <w:sz w:val="20"/>
        </w:rPr>
        <w:t>BENIGN</w:t>
      </w:r>
      <w:r>
        <w:rPr>
          <w:sz w:val="22"/>
        </w:rPr>
        <w:t xml:space="preserve"> but the anomaly flag is set, because that combination is logically contradictory. Enforcing such rules at the data layer means an entire class of bug cannot propagate through the system.</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cyber_surakshya/platform/schemas/detection_result.py showing the schema definition and its validators]</w:t>
      </w:r>
    </w:p>
    <w:p>
      <w:pPr>
        <w:pStyle w:val="Heading3"/>
        <w:spacing w:before="200" w:after="120"/>
      </w:pPr>
      <w:r>
        <w:rPr>
          <w:color w:val="1F3B73"/>
          <w:sz w:val="25"/>
        </w:rPr>
        <w:t>4.3.3 Phase 3 — Agent Orchestration</w:t>
      </w:r>
    </w:p>
    <w:p>
      <w:pPr>
        <w:spacing w:after="160" w:line="276" w:lineRule="auto"/>
        <w:jc w:val="both"/>
      </w:pPr>
      <w:r>
        <w:rPr>
          <w:sz w:val="22"/>
        </w:rPr>
        <w:t xml:space="preserve">The agents are wired together using </w:t>
      </w:r>
      <w:r>
        <w:rPr>
          <w:b/>
          <w:sz w:val="22"/>
        </w:rPr>
        <w:t>LangGraph</w:t>
      </w:r>
      <w:r>
        <w:rPr>
          <w:sz w:val="22"/>
        </w:rPr>
        <w:t xml:space="preserve">, a library for expressing multi-step workflows as a graph. The design uses a </w:t>
      </w:r>
      <w:r>
        <w:rPr>
          <w:b/>
          <w:sz w:val="22"/>
        </w:rPr>
        <w:t>hub-and-spoke</w:t>
      </w:r>
      <w:r>
        <w:rPr>
          <w:sz w:val="22"/>
        </w:rPr>
        <w:t xml:space="preserve"> topology: a </w:t>
      </w:r>
      <w:r>
        <w:rPr>
          <w:rFonts w:ascii="Consolas" w:hAnsi="Consolas"/>
          <w:color w:val="24292E"/>
          <w:sz w:val="20"/>
        </w:rPr>
        <w:t>CoordinatorAgent</w:t>
      </w:r>
      <w:r>
        <w:rPr>
          <w:sz w:val="22"/>
        </w:rPr>
        <w:t xml:space="preserve"> sits at the centre and decides which agent runs next, and every worker agent returns to the coordinator when finished.</w:t>
      </w:r>
    </w:p>
    <w:p>
      <w:pPr>
        <w:spacing w:after="160" w:line="276" w:lineRule="auto"/>
        <w:jc w:val="both"/>
      </w:pPr>
      <w:r>
        <w:rPr>
          <w:sz w:val="22"/>
        </w:rPr>
        <w:t xml:space="preserve">This topology was chosen over a simple linear chain for a specific reason. Each agent processes exactly one pending item per invocation, so a linear chain processing a batch of </w:t>
      </w:r>
      <w:r>
        <w:rPr>
          <w:i/>
          <w:sz w:val="22"/>
        </w:rPr>
        <w:t>N</w:t>
      </w:r>
      <w:r>
        <w:rPr>
          <w:sz w:val="22"/>
        </w:rPr>
        <w:t xml:space="preserve"> events would handle the first and silently discard the rest. The coordinator instead maintains a </w:t>
      </w:r>
      <w:r>
        <w:rPr>
          <w:b/>
          <w:sz w:val="22"/>
        </w:rPr>
        <w:t>work queue</w:t>
      </w:r>
      <w:r>
        <w:rPr>
          <w:sz w:val="22"/>
        </w:rPr>
        <w:t xml:space="preserve"> derived from the current state and drains it stage by stage.</w:t>
      </w:r>
    </w:p>
    <w:p>
      <w:pPr>
        <w:spacing w:after="160" w:line="276" w:lineRule="auto"/>
        <w:jc w:val="both"/>
      </w:pPr>
      <w:r>
        <w:rPr>
          <w:sz w:val="22"/>
        </w:rPr>
        <w:t>The coordinator also implements two safety mechanisms:</w:t>
      </w:r>
    </w:p>
    <w:p>
      <w:pPr>
        <w:pStyle w:val="ListBullet"/>
        <w:spacing w:after="60"/>
      </w:pPr>
      <w:r>
        <w:rPr>
          <w:b/>
          <w:sz w:val="22"/>
        </w:rPr>
        <w:t>Stall detection</w:t>
      </w:r>
      <w:r>
        <w:rPr>
          <w:sz w:val="22"/>
        </w:rPr>
        <w:t xml:space="preserve"> — if a dispatched agent produces no new output, that stage is</w:t>
      </w:r>
    </w:p>
    <w:p>
      <w:pPr>
        <w:spacing w:after="160" w:line="276" w:lineRule="auto"/>
        <w:jc w:val="both"/>
      </w:pPr>
      <w:r>
        <w:rPr>
          <w:sz w:val="22"/>
        </w:rPr>
        <w:t>excluded from further routing. Without this, a failing agent would be dispatched to indefinitely, producing a live-lock.</w:t>
      </w:r>
    </w:p>
    <w:p>
      <w:pPr>
        <w:pStyle w:val="ListBullet"/>
        <w:spacing w:after="60"/>
      </w:pPr>
      <w:r>
        <w:rPr>
          <w:b/>
          <w:sz w:val="22"/>
        </w:rPr>
        <w:t>An iteration budget</w:t>
      </w:r>
      <w:r>
        <w:rPr>
          <w:sz w:val="22"/>
        </w:rPr>
        <w:t xml:space="preserve"> — a hard ceiling on dispatches per run, acting as a</w:t>
      </w:r>
    </w:p>
    <w:p>
      <w:pPr>
        <w:spacing w:after="160" w:line="276" w:lineRule="auto"/>
        <w:jc w:val="both"/>
      </w:pPr>
      <w:r>
        <w:rPr>
          <w:sz w:val="22"/>
        </w:rPr>
        <w:t>backstop behind stall detection.</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Agent Orchestration Graph — coordinator hub with detection, analysis, decision and response spokes]</w:t>
      </w:r>
    </w:p>
    <w:p>
      <w:pPr>
        <w:pStyle w:val="Heading3"/>
        <w:spacing w:before="200" w:after="120"/>
      </w:pPr>
      <w:r>
        <w:rPr>
          <w:color w:val="1F3B73"/>
          <w:sz w:val="25"/>
        </w:rPr>
        <w:t>4.3.4 Phase 4 — The Agents</w:t>
      </w:r>
    </w:p>
    <w:tbl>
      <w:tblPr>
        <w:tblStyle w:val="TableGrid"/>
        <w:tblW w:type="auto" w:w="0"/>
        <w:jc w:val="center"/>
        <w:tblLayout w:type="autofit"/>
        <w:tblLook w:firstColumn="1" w:firstRow="1" w:lastColumn="0" w:lastRow="0" w:noHBand="0" w:noVBand="1" w:val="04A0"/>
      </w:tblPr>
      <w:tblGrid>
        <w:gridCol w:w="3010"/>
        <w:gridCol w:w="3010"/>
        <w:gridCol w:w="3010"/>
      </w:tblGrid>
      <w:tr>
        <w:trPr>
          <w:tblHeader w:val="true"/>
        </w:trPr>
        <w:tc>
          <w:tcPr>
            <w:tcW w:type="dxa" w:w="3010"/>
            <w:shd w:val="clear" w:color="auto" w:fill="1F3B73"/>
          </w:tcPr>
          <w:p>
            <w:pPr>
              <w:spacing w:before="40" w:after="40"/>
            </w:pPr>
            <w:r/>
            <w:r>
              <w:rPr>
                <w:b/>
                <w:color w:val="FFFFFF"/>
                <w:sz w:val="19"/>
              </w:rPr>
              <w:t>Agent</w:t>
            </w:r>
          </w:p>
        </w:tc>
        <w:tc>
          <w:tcPr>
            <w:tcW w:type="dxa" w:w="3010"/>
            <w:shd w:val="clear" w:color="auto" w:fill="1F3B73"/>
          </w:tcPr>
          <w:p>
            <w:pPr>
              <w:spacing w:before="40" w:after="40"/>
            </w:pPr>
            <w:r/>
            <w:r>
              <w:rPr>
                <w:b/>
                <w:color w:val="FFFFFF"/>
                <w:sz w:val="19"/>
              </w:rPr>
              <w:t>Input</w:t>
            </w:r>
          </w:p>
        </w:tc>
        <w:tc>
          <w:tcPr>
            <w:tcW w:type="dxa" w:w="3010"/>
            <w:shd w:val="clear" w:color="auto" w:fill="1F3B73"/>
          </w:tcPr>
          <w:p>
            <w:pPr>
              <w:spacing w:before="40" w:after="40"/>
            </w:pPr>
            <w:r/>
            <w:r>
              <w:rPr>
                <w:b/>
                <w:color w:val="FFFFFF"/>
                <w:sz w:val="19"/>
              </w:rPr>
              <w:t>Output</w:t>
            </w:r>
          </w:p>
        </w:tc>
      </w:tr>
      <w:tr>
        <w:tc>
          <w:tcPr>
            <w:tcW w:type="dxa" w:w="3010"/>
          </w:tcPr>
          <w:p>
            <w:pPr>
              <w:spacing w:before="40" w:after="40"/>
            </w:pPr>
            <w:r/>
            <w:r>
              <w:rPr>
                <w:rFonts w:ascii="Consolas" w:hAnsi="Consolas"/>
                <w:color w:val="24292E"/>
                <w:sz w:val="17"/>
              </w:rPr>
              <w:t>DetectionAgent</w:t>
            </w:r>
          </w:p>
        </w:tc>
        <w:tc>
          <w:tcPr>
            <w:tcW w:type="dxa" w:w="3010"/>
          </w:tcPr>
          <w:p>
            <w:pPr>
              <w:spacing w:before="40" w:after="40"/>
            </w:pPr>
            <w:r/>
            <w:r>
              <w:rPr>
                <w:rFonts w:ascii="Consolas" w:hAnsi="Consolas"/>
                <w:color w:val="24292E"/>
                <w:sz w:val="17"/>
              </w:rPr>
              <w:t>SecurityEvent</w:t>
            </w:r>
          </w:p>
        </w:tc>
        <w:tc>
          <w:tcPr>
            <w:tcW w:type="dxa" w:w="3010"/>
          </w:tcPr>
          <w:p>
            <w:pPr>
              <w:spacing w:before="40" w:after="40"/>
            </w:pPr>
            <w:r/>
            <w:r>
              <w:rPr>
                <w:rFonts w:ascii="Consolas" w:hAnsi="Consolas"/>
                <w:color w:val="24292E"/>
                <w:sz w:val="17"/>
              </w:rPr>
              <w:t>DetectionResult</w:t>
            </w:r>
            <w:r>
              <w:rPr>
                <w:sz w:val="19"/>
              </w:rPr>
              <w:t xml:space="preserve"> (label, confidence, risk)</w:t>
            </w:r>
          </w:p>
        </w:tc>
      </w:tr>
      <w:tr>
        <w:tc>
          <w:tcPr>
            <w:tcW w:type="dxa" w:w="3010"/>
          </w:tcPr>
          <w:p>
            <w:pPr>
              <w:spacing w:before="40" w:after="40"/>
            </w:pPr>
            <w:r/>
            <w:r>
              <w:rPr>
                <w:rFonts w:ascii="Consolas" w:hAnsi="Consolas"/>
                <w:color w:val="24292E"/>
                <w:sz w:val="17"/>
              </w:rPr>
              <w:t>AnalysisAgent</w:t>
            </w:r>
          </w:p>
        </w:tc>
        <w:tc>
          <w:tcPr>
            <w:tcW w:type="dxa" w:w="3010"/>
          </w:tcPr>
          <w:p>
            <w:pPr>
              <w:spacing w:before="40" w:after="40"/>
            </w:pPr>
            <w:r/>
            <w:r>
              <w:rPr>
                <w:rFonts w:ascii="Consolas" w:hAnsi="Consolas"/>
                <w:color w:val="24292E"/>
                <w:sz w:val="17"/>
              </w:rPr>
              <w:t>DetectionResult</w:t>
            </w:r>
          </w:p>
        </w:tc>
        <w:tc>
          <w:tcPr>
            <w:tcW w:type="dxa" w:w="3010"/>
          </w:tcPr>
          <w:p>
            <w:pPr>
              <w:spacing w:before="40" w:after="40"/>
            </w:pPr>
            <w:r/>
            <w:r>
              <w:rPr>
                <w:rFonts w:ascii="Consolas" w:hAnsi="Consolas"/>
                <w:color w:val="24292E"/>
                <w:sz w:val="17"/>
              </w:rPr>
              <w:t>AnalysisResult</w:t>
            </w:r>
            <w:r>
              <w:rPr>
                <w:sz w:val="19"/>
              </w:rPr>
              <w:t xml:space="preserve"> (severity, evidence)</w:t>
            </w:r>
          </w:p>
        </w:tc>
      </w:tr>
      <w:tr>
        <w:tc>
          <w:tcPr>
            <w:tcW w:type="dxa" w:w="3010"/>
          </w:tcPr>
          <w:p>
            <w:pPr>
              <w:spacing w:before="40" w:after="40"/>
            </w:pPr>
            <w:r/>
            <w:r>
              <w:rPr>
                <w:rFonts w:ascii="Consolas" w:hAnsi="Consolas"/>
                <w:color w:val="24292E"/>
                <w:sz w:val="17"/>
              </w:rPr>
              <w:t>DecisionAgent</w:t>
            </w:r>
          </w:p>
        </w:tc>
        <w:tc>
          <w:tcPr>
            <w:tcW w:type="dxa" w:w="3010"/>
          </w:tcPr>
          <w:p>
            <w:pPr>
              <w:spacing w:before="40" w:after="40"/>
            </w:pPr>
            <w:r/>
            <w:r>
              <w:rPr>
                <w:rFonts w:ascii="Consolas" w:hAnsi="Consolas"/>
                <w:color w:val="24292E"/>
                <w:sz w:val="17"/>
              </w:rPr>
              <w:t>AnalysisResult</w:t>
            </w:r>
          </w:p>
        </w:tc>
        <w:tc>
          <w:tcPr>
            <w:tcW w:type="dxa" w:w="3010"/>
          </w:tcPr>
          <w:p>
            <w:pPr>
              <w:spacing w:before="40" w:after="40"/>
            </w:pPr>
            <w:r/>
            <w:r>
              <w:rPr>
                <w:rFonts w:ascii="Consolas" w:hAnsi="Consolas"/>
                <w:color w:val="24292E"/>
                <w:sz w:val="17"/>
              </w:rPr>
              <w:t>DecisionResult</w:t>
            </w:r>
            <w:r>
              <w:rPr>
                <w:sz w:val="19"/>
              </w:rPr>
              <w:t xml:space="preserve"> (action, approval requirement)</w:t>
            </w:r>
          </w:p>
        </w:tc>
      </w:tr>
      <w:tr>
        <w:tc>
          <w:tcPr>
            <w:tcW w:type="dxa" w:w="3010"/>
          </w:tcPr>
          <w:p>
            <w:pPr>
              <w:spacing w:before="40" w:after="40"/>
            </w:pPr>
            <w:r/>
            <w:r>
              <w:rPr>
                <w:rFonts w:ascii="Consolas" w:hAnsi="Consolas"/>
                <w:color w:val="24292E"/>
                <w:sz w:val="17"/>
              </w:rPr>
              <w:t>ResponseAgent</w:t>
            </w:r>
          </w:p>
        </w:tc>
        <w:tc>
          <w:tcPr>
            <w:tcW w:type="dxa" w:w="3010"/>
          </w:tcPr>
          <w:p>
            <w:pPr>
              <w:spacing w:before="40" w:after="40"/>
            </w:pPr>
            <w:r/>
            <w:r>
              <w:rPr>
                <w:rFonts w:ascii="Consolas" w:hAnsi="Consolas"/>
                <w:color w:val="24292E"/>
                <w:sz w:val="17"/>
              </w:rPr>
              <w:t>DecisionResult</w:t>
            </w:r>
          </w:p>
        </w:tc>
        <w:tc>
          <w:tcPr>
            <w:tcW w:type="dxa" w:w="3010"/>
          </w:tcPr>
          <w:p>
            <w:pPr>
              <w:spacing w:before="40" w:after="40"/>
            </w:pPr>
            <w:r/>
            <w:r>
              <w:rPr>
                <w:rFonts w:ascii="Consolas" w:hAnsi="Consolas"/>
                <w:color w:val="24292E"/>
                <w:sz w:val="17"/>
              </w:rPr>
              <w:t>ResponseResult</w:t>
            </w:r>
            <w:r>
              <w:rPr>
                <w:sz w:val="19"/>
              </w:rPr>
              <w:t xml:space="preserve"> (execution outcome)</w:t>
            </w:r>
          </w:p>
        </w:tc>
      </w:tr>
      <w:tr>
        <w:tc>
          <w:tcPr>
            <w:tcW w:type="dxa" w:w="3010"/>
          </w:tcPr>
          <w:p>
            <w:pPr>
              <w:spacing w:before="40" w:after="40"/>
            </w:pPr>
            <w:r/>
            <w:r>
              <w:rPr>
                <w:rFonts w:ascii="Consolas" w:hAnsi="Consolas"/>
                <w:color w:val="24292E"/>
                <w:sz w:val="17"/>
              </w:rPr>
              <w:t>LearningAgent</w:t>
            </w:r>
          </w:p>
        </w:tc>
        <w:tc>
          <w:tcPr>
            <w:tcW w:type="dxa" w:w="3010"/>
          </w:tcPr>
          <w:p>
            <w:pPr>
              <w:spacing w:before="40" w:after="40"/>
            </w:pPr>
            <w:r/>
            <w:r>
              <w:rPr>
                <w:sz w:val="19"/>
              </w:rPr>
              <w:t>Historical records</w:t>
            </w:r>
          </w:p>
        </w:tc>
        <w:tc>
          <w:tcPr>
            <w:tcW w:type="dxa" w:w="3010"/>
          </w:tcPr>
          <w:p>
            <w:pPr>
              <w:spacing w:before="40" w:after="40"/>
            </w:pPr>
            <w:r/>
            <w:r>
              <w:rPr>
                <w:rFonts w:ascii="Consolas" w:hAnsi="Consolas"/>
                <w:color w:val="24292E"/>
                <w:sz w:val="17"/>
              </w:rPr>
              <w:t>LearningReport</w:t>
            </w:r>
            <w:r>
              <w:rPr>
                <w:sz w:val="19"/>
              </w:rPr>
              <w:t xml:space="preserve"> (metrics, recommendations)</w:t>
            </w:r>
          </w:p>
        </w:tc>
      </w:tr>
    </w:tbl>
    <w:p>
      <w:pPr>
        <w:spacing w:after="80"/>
      </w:pPr>
    </w:p>
    <w:p>
      <w:pPr>
        <w:spacing w:after="160" w:line="276" w:lineRule="auto"/>
        <w:jc w:val="both"/>
      </w:pPr>
      <w:r>
        <w:rPr>
          <w:sz w:val="22"/>
        </w:rPr>
        <w:t xml:space="preserve">Each agent has a deliberately narrow contract. The </w:t>
      </w:r>
      <w:r>
        <w:rPr>
          <w:rFonts w:ascii="Consolas" w:hAnsi="Consolas"/>
          <w:color w:val="24292E"/>
          <w:sz w:val="20"/>
        </w:rPr>
        <w:t>ResponseAgent</w:t>
      </w:r>
      <w:r>
        <w:rPr>
          <w:sz w:val="22"/>
        </w:rPr>
        <w:t xml:space="preserve">, for instance, reads </w:t>
      </w:r>
      <w:r>
        <w:rPr>
          <w:i/>
          <w:sz w:val="22"/>
        </w:rPr>
        <w:t>only</w:t>
      </w:r>
      <w:r>
        <w:rPr>
          <w:sz w:val="22"/>
        </w:rPr>
        <w:t xml:space="preserve"> </w:t>
      </w:r>
      <w:r>
        <w:rPr>
          <w:rFonts w:ascii="Consolas" w:hAnsi="Consolas"/>
          <w:color w:val="24292E"/>
          <w:sz w:val="20"/>
        </w:rPr>
        <w:t>DecisionResult</w:t>
      </w:r>
      <w:r>
        <w:rPr>
          <w:sz w:val="22"/>
        </w:rPr>
        <w:t xml:space="preserve"> — never the original detection or event. This means it cannot second-guess the decision; it may refuse or downgrade an action, but never escalate one.</w:t>
      </w:r>
    </w:p>
    <w:p>
      <w:pPr>
        <w:spacing w:after="160" w:line="276" w:lineRule="auto"/>
        <w:jc w:val="both"/>
      </w:pPr>
      <w:r>
        <w:rPr>
          <w:sz w:val="22"/>
        </w:rPr>
        <w:t xml:space="preserve">The </w:t>
      </w:r>
      <w:r>
        <w:rPr>
          <w:rFonts w:ascii="Consolas" w:hAnsi="Consolas"/>
          <w:color w:val="24292E"/>
          <w:sz w:val="20"/>
        </w:rPr>
        <w:t>LearningAgent</w:t>
      </w:r>
      <w:r>
        <w:rPr>
          <w:sz w:val="22"/>
        </w:rPr>
        <w:t xml:space="preserve"> is </w:t>
      </w:r>
      <w:r>
        <w:rPr>
          <w:b/>
          <w:sz w:val="22"/>
        </w:rPr>
        <w:t>not</w:t>
      </w:r>
      <w:r>
        <w:rPr>
          <w:sz w:val="22"/>
        </w:rPr>
        <w:t xml:space="preserve"> a pipeline node. It operates over accumulated history rather than individual events, so registering it in the graph would re-derive platform-wide metrics on every single flow. It is invoked on demand instead.</w:t>
      </w:r>
    </w:p>
    <w:p>
      <w:pPr>
        <w:pStyle w:val="Heading3"/>
        <w:spacing w:before="200" w:after="120"/>
      </w:pPr>
      <w:r>
        <w:rPr>
          <w:color w:val="1F3B73"/>
          <w:sz w:val="25"/>
        </w:rPr>
        <w:t>4.3.5 Phase 5 — Live Traffic Ingestion</w:t>
      </w:r>
    </w:p>
    <w:p>
      <w:pPr>
        <w:spacing w:after="160" w:line="276" w:lineRule="auto"/>
        <w:jc w:val="both"/>
      </w:pPr>
      <w:r>
        <w:rPr>
          <w:sz w:val="22"/>
        </w:rPr>
        <w:t>To operate on real traffic rather than dataset replay, an ingestion pipeline was built with the following stages:</w:t>
      </w:r>
    </w:p>
    <w:p>
      <w:pPr>
        <w:spacing w:before="120" w:after="200" w:line="240" w:lineRule="auto"/>
        <w:ind w:left="432"/>
        <w:shd w:val="clear" w:color="auto" w:fill="F4F5F7"/>
      </w:pPr>
      <w:r>
        <w:rPr>
          <w:rFonts w:ascii="Consolas" w:hAnsi="Consolas"/>
          <w:color w:val="24292E"/>
          <w:sz w:val="18"/>
        </w:rPr>
        <w:t>Network interface</w:t>
        <w:br/>
        <w:t xml:space="preserve">  → dumpcap (packet capture, headers only)</w:t>
        <w:br/>
        <w:t xml:space="preserve">  → rotating .pcap files</w:t>
        <w:br/>
        <w:t xml:space="preserve">  → cicflowmeter (packet → flow conversion)</w:t>
        <w:br/>
        <w:t xml:space="preserve">  → FlowNormalizer (feature contract enforcement)</w:t>
        <w:br/>
        <w:t xml:space="preserve">  → Redis Streams (buffering and durability)</w:t>
        <w:br/>
        <w:t xml:space="preserve">  → PipelineBridge (batch → SecurityEvents)</w:t>
        <w:br/>
        <w:t xml:space="preserve">  → Agent pipeline</w:t>
      </w:r>
    </w:p>
    <w:p>
      <w:pPr>
        <w:spacing w:after="160" w:line="276" w:lineRule="auto"/>
        <w:jc w:val="both"/>
      </w:pPr>
      <w:r>
        <w:rPr>
          <w:sz w:val="22"/>
        </w:rPr>
        <w:t>Two design decisions in this layer are worth recording:</w:t>
      </w:r>
    </w:p>
    <w:p>
      <w:pPr>
        <w:spacing w:after="160" w:line="276" w:lineRule="auto"/>
        <w:jc w:val="both"/>
      </w:pPr>
      <w:r>
        <w:rPr>
          <w:b/>
          <w:sz w:val="22"/>
        </w:rPr>
        <w:t>Headers-only capture.</w:t>
      </w:r>
      <w:r>
        <w:rPr>
          <w:sz w:val="22"/>
        </w:rPr>
        <w:t xml:space="preserve"> Packets are captured with a </w:t>
      </w:r>
      <w:r>
        <w:rPr>
          <w:i/>
          <w:sz w:val="22"/>
        </w:rPr>
        <w:t>snaplen</w:t>
      </w:r>
      <w:r>
        <w:rPr>
          <w:sz w:val="22"/>
        </w:rPr>
        <w:t xml:space="preserve"> of 96 bytes, meaning only protocol headers reach disk. Every flow feature is computable from headers, so payloads are pure liability — they would write credentials, tokens and personal data to disk for no analytical gain. This is the highest-value privacy control in the system.</w:t>
      </w:r>
    </w:p>
    <w:p>
      <w:pPr>
        <w:spacing w:after="160" w:line="276" w:lineRule="auto"/>
        <w:jc w:val="both"/>
      </w:pPr>
      <w:r>
        <w:rPr>
          <w:b/>
          <w:sz w:val="22"/>
        </w:rPr>
        <w:t>Redis Streams as a buffer.</w:t>
      </w:r>
      <w:r>
        <w:rPr>
          <w:sz w:val="22"/>
        </w:rPr>
        <w:t xml:space="preserve"> Placing a durable queue between capture and analysis decouples the two rates. If the agent pipeline slows, flows accumulate in the queue rather than being dropped, and an unacknowledged batch is redelivered after a consumer crash.</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Live Capture page of the dashboard showing capture status, interface selection and flow counters]</w:t>
      </w:r>
    </w:p>
    <w:p>
      <w:pPr>
        <w:pStyle w:val="Heading3"/>
        <w:spacing w:before="200" w:after="120"/>
      </w:pPr>
      <w:r>
        <w:rPr>
          <w:color w:val="1F3B73"/>
          <w:sz w:val="25"/>
        </w:rPr>
        <w:t>4.3.6 Phase 6 — API and Dashboard</w:t>
      </w:r>
    </w:p>
    <w:p>
      <w:pPr>
        <w:spacing w:after="160" w:line="276" w:lineRule="auto"/>
        <w:jc w:val="both"/>
      </w:pPr>
      <w:r>
        <w:rPr>
          <w:sz w:val="22"/>
        </w:rPr>
        <w:t xml:space="preserve">The platform is exposed through a </w:t>
      </w:r>
      <w:r>
        <w:rPr>
          <w:b/>
          <w:sz w:val="22"/>
        </w:rPr>
        <w:t>FastAPI</w:t>
      </w:r>
      <w:r>
        <w:rPr>
          <w:sz w:val="22"/>
        </w:rPr>
        <w:t xml:space="preserve"> backend organised into eight domain-specific routers, and a </w:t>
      </w:r>
      <w:r>
        <w:rPr>
          <w:b/>
          <w:sz w:val="22"/>
        </w:rPr>
        <w:t>React/Vite</w:t>
      </w:r>
      <w:r>
        <w:rPr>
          <w:sz w:val="22"/>
        </w:rPr>
        <w:t xml:space="preserve"> dashboard. The API surface comprises 45 endpoints. Authentication uses an </w:t>
      </w:r>
      <w:r>
        <w:rPr>
          <w:rFonts w:ascii="Consolas" w:hAnsi="Consolas"/>
          <w:color w:val="24292E"/>
          <w:sz w:val="20"/>
        </w:rPr>
        <w:t>X-API-Key</w:t>
      </w:r>
      <w:r>
        <w:rPr>
          <w:sz w:val="22"/>
        </w:rPr>
        <w:t xml:space="preserve"> header supplied from environment configuration; the server refuses to start if the key is unset.</w:t>
      </w:r>
    </w:p>
    <w:p>
      <w:pPr>
        <w:spacing w:after="160" w:line="276" w:lineRule="auto"/>
        <w:jc w:val="both"/>
      </w:pPr>
      <w:r>
        <w:rPr>
          <w:sz w:val="22"/>
        </w:rPr>
        <w:t xml:space="preserve">Four endpoints are deliberately public: </w:t>
      </w:r>
      <w:r>
        <w:rPr>
          <w:rFonts w:ascii="Consolas" w:hAnsi="Consolas"/>
          <w:color w:val="24292E"/>
          <w:sz w:val="20"/>
        </w:rPr>
        <w:t>/health</w:t>
      </w:r>
      <w:r>
        <w:rPr>
          <w:sz w:val="22"/>
        </w:rPr>
        <w:t xml:space="preserve">, </w:t>
      </w:r>
      <w:r>
        <w:rPr>
          <w:rFonts w:ascii="Consolas" w:hAnsi="Consolas"/>
          <w:color w:val="24292E"/>
          <w:sz w:val="20"/>
        </w:rPr>
        <w:t>/metrics</w:t>
      </w:r>
      <w:r>
        <w:rPr>
          <w:sz w:val="22"/>
        </w:rPr>
        <w:t xml:space="preserve">, </w:t>
      </w:r>
      <w:r>
        <w:rPr>
          <w:rFonts w:ascii="Consolas" w:hAnsi="Consolas"/>
          <w:color w:val="24292E"/>
          <w:sz w:val="20"/>
        </w:rPr>
        <w:t>/feed</w:t>
      </w:r>
      <w:r>
        <w:rPr>
          <w:sz w:val="22"/>
        </w:rPr>
        <w:t xml:space="preserve"> and </w:t>
      </w:r>
      <w:r>
        <w:rPr>
          <w:rFonts w:ascii="Consolas" w:hAnsi="Consolas"/>
          <w:color w:val="24292E"/>
          <w:sz w:val="20"/>
        </w:rPr>
        <w:t>/feed/recent</w:t>
      </w:r>
      <w:r>
        <w:rPr>
          <w:sz w:val="22"/>
        </w:rPr>
        <w:t>. A health check behind a credential is one a load balancer cannot use, and a metrics endpoint behind a rotating credential silently stops working.</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Main Dashboard showing threat statistics, severity chart and recent alerts]</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Alerts page with the alert table, severity badges and filtering controls]</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Alert Detail page showing the detection, analysis summary, decision rationale and response outcome]</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FastAPI interactive documentation at /docs showing the full endpoint list]</w:t>
      </w:r>
    </w:p>
    <w:p>
      <w:pPr>
        <w:spacing w:before="40" w:after="40"/>
        <w:pBdr>
          <w:bottom w:val="single" w:sz="6" w:space="1" w:color="BBBBBB"/>
        </w:pBdr>
      </w:pPr>
    </w:p>
    <w:p>
      <w:pPr>
        <w:pStyle w:val="Heading2"/>
        <w:spacing w:before="280" w:after="120"/>
      </w:pPr>
      <w:r>
        <w:rPr>
          <w:color w:val="1F3B73"/>
          <w:sz w:val="30"/>
        </w:rPr>
        <w:t>4.4 The Detection Layer</w:t>
      </w:r>
    </w:p>
    <w:p>
      <w:pPr>
        <w:spacing w:after="160" w:line="276" w:lineRule="auto"/>
        <w:jc w:val="both"/>
      </w:pPr>
      <w:r>
        <w:rPr>
          <w:sz w:val="22"/>
        </w:rPr>
        <w:t>The detection layer is the entry point of the entire pipeline: every downstream component transforms its output, and no other component examines the raw flow. Its correctness therefore bounds the correctness of the whole system.</w:t>
      </w:r>
    </w:p>
    <w:p>
      <w:pPr>
        <w:pStyle w:val="Heading3"/>
        <w:spacing w:before="200" w:after="120"/>
      </w:pPr>
      <w:r>
        <w:rPr>
          <w:color w:val="1F3B73"/>
          <w:sz w:val="25"/>
        </w:rPr>
        <w:t>4.4.1 Dual-Layer Design</w:t>
      </w:r>
    </w:p>
    <w:p>
      <w:pPr>
        <w:spacing w:after="160" w:line="276" w:lineRule="auto"/>
        <w:jc w:val="both"/>
      </w:pPr>
      <w:r>
        <w:rPr>
          <w:sz w:val="22"/>
        </w:rPr>
        <w:t>Detection combines two independent models:</w:t>
      </w:r>
    </w:p>
    <w:p>
      <w:pPr>
        <w:spacing w:after="160" w:line="276" w:lineRule="auto"/>
        <w:jc w:val="both"/>
      </w:pPr>
      <w:r>
        <w:rPr>
          <w:b/>
          <w:sz w:val="22"/>
        </w:rPr>
        <w:t>Layer 1 — Supervised classifier.</w:t>
      </w:r>
      <w:r>
        <w:rPr>
          <w:sz w:val="22"/>
        </w:rPr>
        <w:t xml:space="preserve"> A trained model assigns the flow to one of the seven known classes and reports a confidence value.</w:t>
      </w:r>
    </w:p>
    <w:p>
      <w:pPr>
        <w:spacing w:after="160" w:line="276" w:lineRule="auto"/>
        <w:jc w:val="both"/>
      </w:pPr>
      <w:r>
        <w:rPr>
          <w:b/>
          <w:sz w:val="22"/>
        </w:rPr>
        <w:t>Layer 2 — Unsupervised anomaly detector.</w:t>
      </w:r>
      <w:r>
        <w:rPr>
          <w:sz w:val="22"/>
        </w:rPr>
        <w:t xml:space="preserve"> An </w:t>
      </w:r>
      <w:r>
        <w:rPr>
          <w:b/>
          <w:sz w:val="22"/>
        </w:rPr>
        <w:t>Isolation Forest</w:t>
      </w:r>
      <w:r>
        <w:rPr>
          <w:sz w:val="22"/>
        </w:rPr>
        <w:t xml:space="preserve"> and an </w:t>
      </w:r>
      <w:r>
        <w:rPr>
          <w:b/>
          <w:sz w:val="22"/>
        </w:rPr>
        <w:t>autoencoder</w:t>
      </w:r>
      <w:r>
        <w:rPr>
          <w:sz w:val="22"/>
        </w:rPr>
        <w:t xml:space="preserve">, both trained on BENIGN traffic </w:t>
      </w:r>
      <w:r>
        <w:rPr>
          <w:i/>
          <w:sz w:val="22"/>
        </w:rPr>
        <w:t>only</w:t>
      </w:r>
      <w:r>
        <w:rPr>
          <w:sz w:val="22"/>
        </w:rPr>
        <w:t>, judge whether the flow resembles normal traffic at all. The Isolation Forest flags flows that are easy to isolate from the bulk of the data; the autoencoder flags flows it cannot accurately reconstruct. Fixed thresholds calibrated during training convert each score to a boolean.</w:t>
      </w:r>
    </w:p>
    <w:p>
      <w:pPr>
        <w:spacing w:after="160" w:line="276" w:lineRule="auto"/>
        <w:jc w:val="both"/>
      </w:pPr>
      <w:r>
        <w:rPr>
          <w:sz w:val="22"/>
        </w:rPr>
        <w:t>The two layers are combined as follows:</w:t>
      </w:r>
    </w:p>
    <w:tbl>
      <w:tblPr>
        <w:tblStyle w:val="TableGrid"/>
        <w:tblW w:type="auto" w:w="0"/>
        <w:jc w:val="center"/>
        <w:tblLayout w:type="autofit"/>
        <w:tblLook w:firstColumn="1" w:firstRow="1" w:lastColumn="0" w:lastRow="0" w:noHBand="0" w:noVBand="1" w:val="04A0"/>
      </w:tblPr>
      <w:tblGrid>
        <w:gridCol w:w="3010"/>
        <w:gridCol w:w="3010"/>
        <w:gridCol w:w="3010"/>
      </w:tblGrid>
      <w:tr>
        <w:trPr>
          <w:tblHeader w:val="true"/>
        </w:trPr>
        <w:tc>
          <w:tcPr>
            <w:tcW w:type="dxa" w:w="3010"/>
            <w:shd w:val="clear" w:color="auto" w:fill="1F3B73"/>
          </w:tcPr>
          <w:p>
            <w:pPr>
              <w:spacing w:before="40" w:after="40"/>
            </w:pPr>
            <w:r/>
            <w:r>
              <w:rPr>
                <w:b/>
                <w:color w:val="FFFFFF"/>
                <w:sz w:val="19"/>
              </w:rPr>
              <w:t>Classifier says</w:t>
            </w:r>
          </w:p>
        </w:tc>
        <w:tc>
          <w:tcPr>
            <w:tcW w:type="dxa" w:w="3010"/>
            <w:shd w:val="clear" w:color="auto" w:fill="1F3B73"/>
          </w:tcPr>
          <w:p>
            <w:pPr>
              <w:spacing w:before="40" w:after="40"/>
            </w:pPr>
            <w:r/>
            <w:r>
              <w:rPr>
                <w:b/>
                <w:color w:val="FFFFFF"/>
                <w:sz w:val="19"/>
              </w:rPr>
              <w:t>Anomaly layer says</w:t>
            </w:r>
          </w:p>
        </w:tc>
        <w:tc>
          <w:tcPr>
            <w:tcW w:type="dxa" w:w="3010"/>
            <w:shd w:val="clear" w:color="auto" w:fill="1F3B73"/>
          </w:tcPr>
          <w:p>
            <w:pPr>
              <w:spacing w:before="40" w:after="40"/>
            </w:pPr>
            <w:r/>
            <w:r>
              <w:rPr>
                <w:b/>
                <w:color w:val="FFFFFF"/>
                <w:sz w:val="19"/>
              </w:rPr>
              <w:t>Final status</w:t>
            </w:r>
          </w:p>
        </w:tc>
      </w:tr>
      <w:tr>
        <w:tc>
          <w:tcPr>
            <w:tcW w:type="dxa" w:w="3010"/>
          </w:tcPr>
          <w:p>
            <w:pPr>
              <w:spacing w:before="40" w:after="40"/>
            </w:pPr>
            <w:r/>
            <w:r>
              <w:rPr>
                <w:sz w:val="19"/>
              </w:rPr>
              <w:t>BENIGN</w:t>
            </w:r>
          </w:p>
        </w:tc>
        <w:tc>
          <w:tcPr>
            <w:tcW w:type="dxa" w:w="3010"/>
          </w:tcPr>
          <w:p>
            <w:pPr>
              <w:spacing w:before="40" w:after="40"/>
            </w:pPr>
            <w:r/>
            <w:r>
              <w:rPr>
                <w:sz w:val="19"/>
              </w:rPr>
              <w:t>normal</w:t>
            </w:r>
          </w:p>
        </w:tc>
        <w:tc>
          <w:tcPr>
            <w:tcW w:type="dxa" w:w="3010"/>
          </w:tcPr>
          <w:p>
            <w:pPr>
              <w:spacing w:before="40" w:after="40"/>
            </w:pPr>
            <w:r/>
            <w:r>
              <w:rPr>
                <w:b/>
                <w:sz w:val="19"/>
              </w:rPr>
              <w:t>BENIGN</w:t>
            </w:r>
          </w:p>
        </w:tc>
      </w:tr>
      <w:tr>
        <w:tc>
          <w:tcPr>
            <w:tcW w:type="dxa" w:w="3010"/>
          </w:tcPr>
          <w:p>
            <w:pPr>
              <w:spacing w:before="40" w:after="40"/>
            </w:pPr>
            <w:r/>
            <w:r>
              <w:rPr>
                <w:sz w:val="19"/>
              </w:rPr>
              <w:t>BENIGN</w:t>
            </w:r>
          </w:p>
        </w:tc>
        <w:tc>
          <w:tcPr>
            <w:tcW w:type="dxa" w:w="3010"/>
          </w:tcPr>
          <w:p>
            <w:pPr>
              <w:spacing w:before="40" w:after="40"/>
            </w:pPr>
            <w:r/>
            <w:r>
              <w:rPr>
                <w:sz w:val="19"/>
              </w:rPr>
              <w:t>anomalous</w:t>
            </w:r>
          </w:p>
        </w:tc>
        <w:tc>
          <w:tcPr>
            <w:tcW w:type="dxa" w:w="3010"/>
          </w:tcPr>
          <w:p>
            <w:pPr>
              <w:spacing w:before="40" w:after="40"/>
            </w:pPr>
            <w:r/>
            <w:r>
              <w:rPr>
                <w:b/>
                <w:sz w:val="19"/>
              </w:rPr>
              <w:t>INCONCLUSIVE</w:t>
            </w:r>
          </w:p>
        </w:tc>
      </w:tr>
      <w:tr>
        <w:tc>
          <w:tcPr>
            <w:tcW w:type="dxa" w:w="3010"/>
          </w:tcPr>
          <w:p>
            <w:pPr>
              <w:spacing w:before="40" w:after="40"/>
            </w:pPr>
            <w:r/>
            <w:r>
              <w:rPr>
                <w:sz w:val="19"/>
              </w:rPr>
              <w:t>Attack (confidence ≥ threshold)</w:t>
            </w:r>
          </w:p>
        </w:tc>
        <w:tc>
          <w:tcPr>
            <w:tcW w:type="dxa" w:w="3010"/>
          </w:tcPr>
          <w:p>
            <w:pPr>
              <w:spacing w:before="40" w:after="40"/>
            </w:pPr>
            <w:r/>
            <w:r>
              <w:rPr>
                <w:sz w:val="19"/>
              </w:rPr>
              <w:t>either</w:t>
            </w:r>
          </w:p>
        </w:tc>
        <w:tc>
          <w:tcPr>
            <w:tcW w:type="dxa" w:w="3010"/>
          </w:tcPr>
          <w:p>
            <w:pPr>
              <w:spacing w:before="40" w:after="40"/>
            </w:pPr>
            <w:r/>
            <w:r>
              <w:rPr>
                <w:b/>
                <w:sz w:val="19"/>
              </w:rPr>
              <w:t>DETECTED</w:t>
            </w:r>
          </w:p>
        </w:tc>
      </w:tr>
      <w:tr>
        <w:tc>
          <w:tcPr>
            <w:tcW w:type="dxa" w:w="3010"/>
          </w:tcPr>
          <w:p>
            <w:pPr>
              <w:spacing w:before="40" w:after="40"/>
            </w:pPr>
            <w:r/>
            <w:r>
              <w:rPr>
                <w:sz w:val="19"/>
              </w:rPr>
              <w:t>Attack (confidence &lt; threshold)</w:t>
            </w:r>
          </w:p>
        </w:tc>
        <w:tc>
          <w:tcPr>
            <w:tcW w:type="dxa" w:w="3010"/>
          </w:tcPr>
          <w:p>
            <w:pPr>
              <w:spacing w:before="40" w:after="40"/>
            </w:pPr>
            <w:r/>
            <w:r>
              <w:rPr>
                <w:sz w:val="19"/>
              </w:rPr>
              <w:t>either</w:t>
            </w:r>
          </w:p>
        </w:tc>
        <w:tc>
          <w:tcPr>
            <w:tcW w:type="dxa" w:w="3010"/>
          </w:tcPr>
          <w:p>
            <w:pPr>
              <w:spacing w:before="40" w:after="40"/>
            </w:pPr>
            <w:r/>
            <w:r>
              <w:rPr>
                <w:b/>
                <w:sz w:val="19"/>
              </w:rPr>
              <w:t>INCONCLUSIVE</w:t>
            </w:r>
          </w:p>
        </w:tc>
      </w:tr>
    </w:tbl>
    <w:p>
      <w:pPr>
        <w:spacing w:after="80"/>
      </w:pPr>
    </w:p>
    <w:p>
      <w:pPr>
        <w:spacing w:after="160" w:line="276" w:lineRule="auto"/>
        <w:jc w:val="both"/>
      </w:pPr>
      <w:r>
        <w:rPr>
          <w:sz w:val="22"/>
        </w:rPr>
        <w:t>The second row is the entire justification for training a second model. A supervised classifier can only choose among the classes it has seen, so a genuinely novel attack is confidently sorted into the nearest known class — potentially BENIGN. When the anomaly layer disagrees with a BENIGN verdict, the honest answer is "uncertain", not "safe".</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Dual-Layer Detection Decision Flowchart]</w:t>
      </w:r>
    </w:p>
    <w:p>
      <w:pPr>
        <w:pStyle w:val="Heading3"/>
        <w:spacing w:before="200" w:after="120"/>
      </w:pPr>
      <w:r>
        <w:rPr>
          <w:color w:val="1F3B73"/>
          <w:sz w:val="25"/>
        </w:rPr>
        <w:t>4.4.2 Risk Scoring</w:t>
      </w:r>
    </w:p>
    <w:p>
      <w:pPr>
        <w:spacing w:after="160" w:line="276" w:lineRule="auto"/>
        <w:jc w:val="both"/>
      </w:pPr>
      <w:r>
        <w:rPr>
          <w:sz w:val="22"/>
        </w:rPr>
        <w:t>Each detection is assigned a numeric risk score on a 0–100 scale, which downstream policy uses to choose an action. Risk is computed as:</w:t>
      </w:r>
    </w:p>
    <w:p>
      <w:pPr>
        <w:spacing w:before="120" w:after="200" w:line="240" w:lineRule="auto"/>
        <w:ind w:left="432"/>
        <w:shd w:val="clear" w:color="auto" w:fill="F4F5F7"/>
      </w:pPr>
      <w:r>
        <w:rPr>
          <w:rFonts w:ascii="Consolas" w:hAnsi="Consolas"/>
          <w:color w:val="24292E"/>
          <w:sz w:val="18"/>
        </w:rPr>
        <w:t>risk = base_risk(predicted_class) × confidence</w:t>
      </w:r>
    </w:p>
    <w:p>
      <w:pPr>
        <w:spacing w:after="160" w:line="276" w:lineRule="auto"/>
        <w:jc w:val="both"/>
      </w:pPr>
      <w:r>
        <w:rPr>
          <w:sz w:val="22"/>
        </w:rPr>
        <w:t xml:space="preserve">with an additional upward adjustment when the anomaly layer independently agrees. The per-class base values encode </w:t>
      </w:r>
      <w:r>
        <w:rPr>
          <w:b/>
          <w:sz w:val="22"/>
        </w:rPr>
        <w:t>consequence</w:t>
      </w:r>
      <w:r>
        <w:rPr>
          <w:sz w:val="22"/>
        </w:rPr>
        <w:t>, not detectability:</w:t>
      </w:r>
    </w:p>
    <w:tbl>
      <w:tblPr>
        <w:tblStyle w:val="TableGrid"/>
        <w:tblW w:type="auto" w:w="0"/>
        <w:jc w:val="center"/>
        <w:tblLayout w:type="autofit"/>
        <w:tblLook w:firstColumn="1" w:firstRow="1" w:lastColumn="0" w:lastRow="0" w:noHBand="0" w:noVBand="1" w:val="04A0"/>
      </w:tblPr>
      <w:tblGrid>
        <w:gridCol w:w="3010"/>
        <w:gridCol w:w="3010"/>
        <w:gridCol w:w="3010"/>
      </w:tblGrid>
      <w:tr>
        <w:trPr>
          <w:tblHeader w:val="true"/>
        </w:trPr>
        <w:tc>
          <w:tcPr>
            <w:tcW w:type="dxa" w:w="3010"/>
            <w:shd w:val="clear" w:color="auto" w:fill="1F3B73"/>
          </w:tcPr>
          <w:p>
            <w:pPr>
              <w:spacing w:before="40" w:after="40"/>
            </w:pPr>
            <w:r/>
            <w:r>
              <w:rPr>
                <w:b/>
                <w:color w:val="FFFFFF"/>
                <w:sz w:val="19"/>
              </w:rPr>
              <w:t>Class</w:t>
            </w:r>
          </w:p>
        </w:tc>
        <w:tc>
          <w:tcPr>
            <w:tcW w:type="dxa" w:w="3010"/>
            <w:shd w:val="clear" w:color="auto" w:fill="1F3B73"/>
          </w:tcPr>
          <w:p>
            <w:pPr>
              <w:spacing w:before="40" w:after="40"/>
            </w:pPr>
            <w:r/>
            <w:r>
              <w:rPr>
                <w:b/>
                <w:color w:val="FFFFFF"/>
                <w:sz w:val="19"/>
              </w:rPr>
              <w:t>Base risk</w:t>
            </w:r>
          </w:p>
        </w:tc>
        <w:tc>
          <w:tcPr>
            <w:tcW w:type="dxa" w:w="3010"/>
            <w:shd w:val="clear" w:color="auto" w:fill="1F3B73"/>
          </w:tcPr>
          <w:p>
            <w:pPr>
              <w:spacing w:before="40" w:after="40"/>
            </w:pPr>
            <w:r/>
            <w:r>
              <w:rPr>
                <w:b/>
                <w:color w:val="FFFFFF"/>
                <w:sz w:val="19"/>
              </w:rPr>
              <w:t>Rationale</w:t>
            </w:r>
          </w:p>
        </w:tc>
      </w:tr>
      <w:tr>
        <w:tc>
          <w:tcPr>
            <w:tcW w:type="dxa" w:w="3010"/>
          </w:tcPr>
          <w:p>
            <w:pPr>
              <w:spacing w:before="40" w:after="40"/>
            </w:pPr>
            <w:r/>
            <w:r>
              <w:rPr>
                <w:sz w:val="19"/>
              </w:rPr>
              <w:t>BOTNET</w:t>
            </w:r>
          </w:p>
        </w:tc>
        <w:tc>
          <w:tcPr>
            <w:tcW w:type="dxa" w:w="3010"/>
          </w:tcPr>
          <w:p>
            <w:pPr>
              <w:spacing w:before="40" w:after="40"/>
            </w:pPr>
            <w:r/>
            <w:r>
              <w:rPr>
                <w:sz w:val="19"/>
              </w:rPr>
              <w:t>95</w:t>
            </w:r>
          </w:p>
        </w:tc>
        <w:tc>
          <w:tcPr>
            <w:tcW w:type="dxa" w:w="3010"/>
          </w:tcPr>
          <w:p>
            <w:pPr>
              <w:spacing w:before="40" w:after="40"/>
            </w:pPr>
            <w:r/>
            <w:r>
              <w:rPr>
                <w:sz w:val="19"/>
              </w:rPr>
              <w:t>Command-and-control traffic implies the host is already compromised</w:t>
            </w:r>
          </w:p>
        </w:tc>
      </w:tr>
      <w:tr>
        <w:tc>
          <w:tcPr>
            <w:tcW w:type="dxa" w:w="3010"/>
          </w:tcPr>
          <w:p>
            <w:pPr>
              <w:spacing w:before="40" w:after="40"/>
            </w:pPr>
            <w:r/>
            <w:r>
              <w:rPr>
                <w:sz w:val="19"/>
              </w:rPr>
              <w:t>WEBATTACK</w:t>
            </w:r>
          </w:p>
        </w:tc>
        <w:tc>
          <w:tcPr>
            <w:tcW w:type="dxa" w:w="3010"/>
          </w:tcPr>
          <w:p>
            <w:pPr>
              <w:spacing w:before="40" w:after="40"/>
            </w:pPr>
            <w:r/>
            <w:r>
              <w:rPr>
                <w:sz w:val="19"/>
              </w:rPr>
              <w:t>90</w:t>
            </w:r>
          </w:p>
        </w:tc>
        <w:tc>
          <w:tcPr>
            <w:tcW w:type="dxa" w:w="3010"/>
          </w:tcPr>
          <w:p>
            <w:pPr>
              <w:spacing w:before="40" w:after="40"/>
            </w:pPr>
            <w:r/>
            <w:r>
              <w:rPr>
                <w:sz w:val="19"/>
              </w:rPr>
              <w:t>SQL injection and XSS are direct data-breach vectors</w:t>
            </w:r>
          </w:p>
        </w:tc>
      </w:tr>
      <w:tr>
        <w:tc>
          <w:tcPr>
            <w:tcW w:type="dxa" w:w="3010"/>
          </w:tcPr>
          <w:p>
            <w:pPr>
              <w:spacing w:before="40" w:after="40"/>
            </w:pPr>
            <w:r/>
            <w:r>
              <w:rPr>
                <w:sz w:val="19"/>
              </w:rPr>
              <w:t>DDOS</w:t>
            </w:r>
          </w:p>
        </w:tc>
        <w:tc>
          <w:tcPr>
            <w:tcW w:type="dxa" w:w="3010"/>
          </w:tcPr>
          <w:p>
            <w:pPr>
              <w:spacing w:before="40" w:after="40"/>
            </w:pPr>
            <w:r/>
            <w:r>
              <w:rPr>
                <w:sz w:val="19"/>
              </w:rPr>
              <w:t>85</w:t>
            </w:r>
          </w:p>
        </w:tc>
        <w:tc>
          <w:tcPr>
            <w:tcW w:type="dxa" w:w="3010"/>
          </w:tcPr>
          <w:p>
            <w:pPr>
              <w:spacing w:before="40" w:after="40"/>
            </w:pPr>
            <w:r/>
            <w:r>
              <w:rPr>
                <w:sz w:val="19"/>
              </w:rPr>
              <w:t>Availability impact, but no compromise implied</w:t>
            </w:r>
          </w:p>
        </w:tc>
      </w:tr>
      <w:tr>
        <w:tc>
          <w:tcPr>
            <w:tcW w:type="dxa" w:w="3010"/>
          </w:tcPr>
          <w:p>
            <w:pPr>
              <w:spacing w:before="40" w:after="40"/>
            </w:pPr>
            <w:r/>
            <w:r>
              <w:rPr>
                <w:sz w:val="19"/>
              </w:rPr>
              <w:t>DOS</w:t>
            </w:r>
          </w:p>
        </w:tc>
        <w:tc>
          <w:tcPr>
            <w:tcW w:type="dxa" w:w="3010"/>
          </w:tcPr>
          <w:p>
            <w:pPr>
              <w:spacing w:before="40" w:after="40"/>
            </w:pPr>
            <w:r/>
            <w:r>
              <w:rPr>
                <w:sz w:val="19"/>
              </w:rPr>
              <w:t>75</w:t>
            </w:r>
          </w:p>
        </w:tc>
        <w:tc>
          <w:tcPr>
            <w:tcW w:type="dxa" w:w="3010"/>
          </w:tcPr>
          <w:p>
            <w:pPr>
              <w:spacing w:before="40" w:after="40"/>
            </w:pPr>
            <w:r/>
            <w:r>
              <w:rPr>
                <w:sz w:val="19"/>
              </w:rPr>
              <w:t>Availability impact, smaller blast radius</w:t>
            </w:r>
          </w:p>
        </w:tc>
      </w:tr>
      <w:tr>
        <w:tc>
          <w:tcPr>
            <w:tcW w:type="dxa" w:w="3010"/>
          </w:tcPr>
          <w:p>
            <w:pPr>
              <w:spacing w:before="40" w:after="40"/>
            </w:pPr>
            <w:r/>
            <w:r>
              <w:rPr>
                <w:sz w:val="19"/>
              </w:rPr>
              <w:t>BRUTEFORCE</w:t>
            </w:r>
          </w:p>
        </w:tc>
        <w:tc>
          <w:tcPr>
            <w:tcW w:type="dxa" w:w="3010"/>
          </w:tcPr>
          <w:p>
            <w:pPr>
              <w:spacing w:before="40" w:after="40"/>
            </w:pPr>
            <w:r/>
            <w:r>
              <w:rPr>
                <w:sz w:val="19"/>
              </w:rPr>
              <w:t>70</w:t>
            </w:r>
          </w:p>
        </w:tc>
        <w:tc>
          <w:tcPr>
            <w:tcW w:type="dxa" w:w="3010"/>
          </w:tcPr>
          <w:p>
            <w:pPr>
              <w:spacing w:before="40" w:after="40"/>
            </w:pPr>
            <w:r/>
            <w:r>
              <w:rPr>
                <w:sz w:val="19"/>
              </w:rPr>
              <w:t>Credential attack, frequently unsuccessful and very noisy</w:t>
            </w:r>
          </w:p>
        </w:tc>
      </w:tr>
      <w:tr>
        <w:tc>
          <w:tcPr>
            <w:tcW w:type="dxa" w:w="3010"/>
          </w:tcPr>
          <w:p>
            <w:pPr>
              <w:spacing w:before="40" w:after="40"/>
            </w:pPr>
            <w:r/>
            <w:r>
              <w:rPr>
                <w:sz w:val="19"/>
              </w:rPr>
              <w:t>PORTSCAN</w:t>
            </w:r>
          </w:p>
        </w:tc>
        <w:tc>
          <w:tcPr>
            <w:tcW w:type="dxa" w:w="3010"/>
          </w:tcPr>
          <w:p>
            <w:pPr>
              <w:spacing w:before="40" w:after="40"/>
            </w:pPr>
            <w:r/>
            <w:r>
              <w:rPr>
                <w:sz w:val="19"/>
              </w:rPr>
              <w:t>40</w:t>
            </w:r>
          </w:p>
        </w:tc>
        <w:tc>
          <w:tcPr>
            <w:tcW w:type="dxa" w:w="3010"/>
          </w:tcPr>
          <w:p>
            <w:pPr>
              <w:spacing w:before="40" w:after="40"/>
            </w:pPr>
            <w:r/>
            <w:r>
              <w:rPr>
                <w:sz w:val="19"/>
              </w:rPr>
              <w:t>Reconnaissance only; constant background noise on any public interface</w:t>
            </w:r>
          </w:p>
        </w:tc>
      </w:tr>
      <w:tr>
        <w:tc>
          <w:tcPr>
            <w:tcW w:type="dxa" w:w="3010"/>
          </w:tcPr>
          <w:p>
            <w:pPr>
              <w:spacing w:before="40" w:after="40"/>
            </w:pPr>
            <w:r/>
            <w:r>
              <w:rPr>
                <w:i/>
                <w:sz w:val="19"/>
              </w:rPr>
              <w:t>(unknown class)</w:t>
            </w:r>
          </w:p>
        </w:tc>
        <w:tc>
          <w:tcPr>
            <w:tcW w:type="dxa" w:w="3010"/>
          </w:tcPr>
          <w:p>
            <w:pPr>
              <w:spacing w:before="40" w:after="40"/>
            </w:pPr>
            <w:r/>
            <w:r>
              <w:rPr>
                <w:sz w:val="19"/>
              </w:rPr>
              <w:t>60</w:t>
            </w:r>
          </w:p>
        </w:tc>
        <w:tc>
          <w:tcPr>
            <w:tcW w:type="dxa" w:w="3010"/>
          </w:tcPr>
          <w:p>
            <w:pPr>
              <w:spacing w:before="40" w:after="40"/>
            </w:pPr>
            <w:r/>
            <w:r>
              <w:rPr>
                <w:sz w:val="19"/>
              </w:rPr>
              <w:t>Mid-range default so a retrained model with new classes is neither ignored nor over-escalated</w:t>
            </w:r>
          </w:p>
        </w:tc>
      </w:tr>
    </w:tbl>
    <w:p>
      <w:pPr>
        <w:spacing w:after="80"/>
      </w:pPr>
    </w:p>
    <w:p>
      <w:pPr>
        <w:spacing w:after="160" w:line="276" w:lineRule="auto"/>
        <w:jc w:val="both"/>
      </w:pPr>
      <w:r>
        <w:rPr>
          <w:sz w:val="22"/>
        </w:rPr>
        <w:t xml:space="preserve">This design replaced an earlier formulation in which risk was simply </w:t>
      </w:r>
      <w:r>
        <w:rPr>
          <w:rFonts w:ascii="Consolas" w:hAnsi="Consolas"/>
          <w:color w:val="24292E"/>
          <w:sz w:val="20"/>
        </w:rPr>
        <w:t>confidence × 100</w:t>
      </w:r>
      <w:r>
        <w:rPr>
          <w:sz w:val="22"/>
        </w:rPr>
        <w:t>. That formulation made risk a restatement of model certainty and ignored what the attack actually was. Because the model is over 99% confident on its common classes, essentially every detection scored above 80 — the threshold at which the response policy performs automatic containment. A routine port scan and a volumetric denial-of-service attack therefore triggered identical automated blocking. Separating consequence from certainty resolves this; Section 4.7.5 shows the effect.</w:t>
      </w:r>
    </w:p>
    <w:p>
      <w:pPr>
        <w:pStyle w:val="Heading3"/>
        <w:spacing w:before="200" w:after="120"/>
      </w:pPr>
      <w:r>
        <w:rPr>
          <w:color w:val="1F3B73"/>
          <w:sz w:val="25"/>
        </w:rPr>
        <w:t>4.4.3 Decision Policy</w:t>
      </w:r>
    </w:p>
    <w:p>
      <w:pPr>
        <w:spacing w:after="160" w:line="276" w:lineRule="auto"/>
        <w:jc w:val="both"/>
      </w:pPr>
      <w:r>
        <w:rPr>
          <w:sz w:val="22"/>
        </w:rPr>
        <w:t xml:space="preserve">The </w:t>
      </w:r>
      <w:r>
        <w:rPr>
          <w:rFonts w:ascii="Consolas" w:hAnsi="Consolas"/>
          <w:color w:val="24292E"/>
          <w:sz w:val="20"/>
        </w:rPr>
        <w:t>DecisionAgent</w:t>
      </w:r>
      <w:r>
        <w:rPr>
          <w:sz w:val="22"/>
        </w:rPr>
        <w:t xml:space="preserve"> evaluates an ordered table of seven policy rules, first match winning. Rules are expressed as pure data — thresholds on severity, risk, confidence, detection status and prior-incident count — with no attack-specific names encoded in logic. Adding a rule for a new threat therefore requires no code change.</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Table: Decision Policy Rule Table — rule name, conditions, action, approval requirement]</w:t>
      </w:r>
    </w:p>
    <w:p>
      <w:pPr>
        <w:pStyle w:val="Heading3"/>
        <w:spacing w:before="200" w:after="120"/>
      </w:pPr>
      <w:r>
        <w:rPr>
          <w:color w:val="1F3B73"/>
          <w:sz w:val="25"/>
        </w:rPr>
        <w:t>4.4.4 Response Authorisation</w:t>
      </w:r>
    </w:p>
    <w:p>
      <w:pPr>
        <w:spacing w:after="160" w:line="276" w:lineRule="auto"/>
        <w:jc w:val="both"/>
      </w:pPr>
      <w:r>
        <w:rPr>
          <w:sz w:val="22"/>
        </w:rPr>
        <w:t xml:space="preserve">Before any action executes, an </w:t>
      </w:r>
      <w:r>
        <w:rPr>
          <w:rFonts w:ascii="Consolas" w:hAnsi="Consolas"/>
          <w:color w:val="24292E"/>
          <w:sz w:val="20"/>
        </w:rPr>
        <w:t>ActionGuard</w:t>
      </w:r>
      <w:r>
        <w:rPr>
          <w:sz w:val="22"/>
        </w:rPr>
        <w:t xml:space="preserve"> evaluates it against several independent controls:</w:t>
      </w:r>
    </w:p>
    <w:p>
      <w:pPr>
        <w:pStyle w:val="ListBullet"/>
        <w:spacing w:after="60"/>
      </w:pPr>
      <w:r>
        <w:rPr>
          <w:b/>
          <w:sz w:val="22"/>
        </w:rPr>
        <w:t>Engine trust tier</w:t>
      </w:r>
      <w:r>
        <w:rPr>
          <w:sz w:val="22"/>
        </w:rPr>
        <w:t xml:space="preserve"> — deterministic rule engines may perform destructive</w:t>
      </w:r>
    </w:p>
    <w:p>
      <w:pPr>
        <w:spacing w:after="160" w:line="276" w:lineRule="auto"/>
        <w:jc w:val="both"/>
      </w:pPr>
      <w:r>
        <w:rPr>
          <w:sz w:val="22"/>
        </w:rPr>
        <w:t>actions; a language-model engine is restricted to non-destructive ones.</w:t>
      </w:r>
    </w:p>
    <w:p>
      <w:pPr>
        <w:pStyle w:val="ListBullet"/>
        <w:spacing w:after="60"/>
      </w:pPr>
      <w:r>
        <w:rPr>
          <w:b/>
          <w:sz w:val="22"/>
        </w:rPr>
        <w:t>Protected targets</w:t>
      </w:r>
      <w:r>
        <w:rPr>
          <w:sz w:val="22"/>
        </w:rPr>
        <w:t xml:space="preserve"> — loopback, link-local, multicast and broadcast ranges</w:t>
      </w:r>
    </w:p>
    <w:p>
      <w:pPr>
        <w:spacing w:after="160" w:line="276" w:lineRule="auto"/>
        <w:jc w:val="both"/>
      </w:pPr>
      <w:r>
        <w:rPr>
          <w:sz w:val="22"/>
        </w:rPr>
        <w:t>are refused outright, as are operator-designated critical hosts.</w:t>
      </w:r>
    </w:p>
    <w:p>
      <w:pPr>
        <w:pStyle w:val="ListBullet"/>
        <w:spacing w:after="60"/>
      </w:pPr>
      <w:r>
        <w:rPr>
          <w:b/>
          <w:sz w:val="22"/>
        </w:rPr>
        <w:t>Blast radius</w:t>
      </w:r>
      <w:r>
        <w:rPr>
          <w:sz w:val="22"/>
        </w:rPr>
        <w:t xml:space="preserve"> — a limit on destructive actions per incident, per target</w:t>
      </w:r>
    </w:p>
    <w:p>
      <w:pPr>
        <w:spacing w:after="160" w:line="276" w:lineRule="auto"/>
        <w:jc w:val="both"/>
      </w:pPr>
      <w:r>
        <w:rPr>
          <w:sz w:val="22"/>
        </w:rPr>
        <w:t>within a time window, and globally per minute.</w:t>
      </w:r>
    </w:p>
    <w:p>
      <w:pPr>
        <w:spacing w:after="160" w:line="276" w:lineRule="auto"/>
        <w:jc w:val="both"/>
      </w:pPr>
      <w:r>
        <w:rPr>
          <w:sz w:val="22"/>
        </w:rPr>
        <w:t xml:space="preserve">Actions that fail a check are </w:t>
      </w:r>
      <w:r>
        <w:rPr>
          <w:b/>
          <w:sz w:val="22"/>
        </w:rPr>
        <w:t>downgraded</w:t>
      </w:r>
      <w:r>
        <w:rPr>
          <w:sz w:val="22"/>
        </w:rPr>
        <w:t xml:space="preserve"> (typically to a notification) rather than silently dropped, and every verdict is recorded on the resulting </w:t>
      </w:r>
      <w:r>
        <w:rPr>
          <w:rFonts w:ascii="Consolas" w:hAnsi="Consolas"/>
          <w:color w:val="24292E"/>
          <w:sz w:val="20"/>
        </w:rPr>
        <w:t>ResponseResult</w:t>
      </w:r>
      <w:r>
        <w:rPr>
          <w:sz w:val="22"/>
        </w:rPr>
        <w:t>. Only simulation-safe executors ship with the system; no real firewall or endpoint integration is enabled by default.</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Response page showing executed actions, guard verdicts and pending approvals]</w:t>
      </w:r>
    </w:p>
    <w:p>
      <w:pPr>
        <w:spacing w:before="40" w:after="40"/>
        <w:pBdr>
          <w:bottom w:val="single" w:sz="6" w:space="1" w:color="BBBBBB"/>
        </w:pBdr>
      </w:pPr>
    </w:p>
    <w:p>
      <w:pPr>
        <w:pStyle w:val="Heading2"/>
        <w:spacing w:before="280" w:after="120"/>
      </w:pPr>
      <w:r>
        <w:rPr>
          <w:color w:val="1F3B73"/>
          <w:sz w:val="30"/>
        </w:rPr>
        <w:t>4.5 Model Training</w:t>
      </w:r>
    </w:p>
    <w:p>
      <w:pPr>
        <w:pStyle w:val="Heading3"/>
        <w:spacing w:before="200" w:after="120"/>
      </w:pPr>
      <w:r>
        <w:rPr>
          <w:color w:val="1F3B73"/>
          <w:sz w:val="25"/>
        </w:rPr>
        <w:t>4.5.1 Models Evaluated</w:t>
      </w:r>
    </w:p>
    <w:p>
      <w:pPr>
        <w:spacing w:after="160" w:line="276" w:lineRule="auto"/>
        <w:jc w:val="both"/>
      </w:pPr>
      <w:r>
        <w:rPr>
          <w:sz w:val="22"/>
        </w:rPr>
        <w:t>Four classifiers were trained on identical data with a fixed random seed (42) to ensure comparability:</w:t>
      </w:r>
    </w:p>
    <w:tbl>
      <w:tblPr>
        <w:tblStyle w:val="TableGrid"/>
        <w:tblW w:type="auto" w:w="0"/>
        <w:jc w:val="center"/>
        <w:tblLayout w:type="autofit"/>
        <w:tblLook w:firstColumn="1" w:firstRow="1" w:lastColumn="0" w:lastRow="0" w:noHBand="0" w:noVBand="1" w:val="04A0"/>
      </w:tblPr>
      <w:tblGrid>
        <w:gridCol w:w="4514"/>
        <w:gridCol w:w="4514"/>
      </w:tblGrid>
      <w:tr>
        <w:trPr>
          <w:tblHeader w:val="true"/>
        </w:trPr>
        <w:tc>
          <w:tcPr>
            <w:tcW w:type="dxa" w:w="4514"/>
            <w:shd w:val="clear" w:color="auto" w:fill="1F3B73"/>
          </w:tcPr>
          <w:p>
            <w:pPr>
              <w:spacing w:before="40" w:after="40"/>
            </w:pPr>
            <w:r/>
            <w:r>
              <w:rPr>
                <w:b/>
                <w:color w:val="FFFFFF"/>
                <w:sz w:val="19"/>
              </w:rPr>
              <w:t>Model</w:t>
            </w:r>
          </w:p>
        </w:tc>
        <w:tc>
          <w:tcPr>
            <w:tcW w:type="dxa" w:w="4514"/>
            <w:shd w:val="clear" w:color="auto" w:fill="1F3B73"/>
          </w:tcPr>
          <w:p>
            <w:pPr>
              <w:spacing w:before="40" w:after="40"/>
            </w:pPr>
            <w:r/>
            <w:r>
              <w:rPr>
                <w:b/>
                <w:color w:val="FFFFFF"/>
                <w:sz w:val="19"/>
              </w:rPr>
              <w:t>Configuration</w:t>
            </w:r>
          </w:p>
        </w:tc>
      </w:tr>
      <w:tr>
        <w:tc>
          <w:tcPr>
            <w:tcW w:type="dxa" w:w="4514"/>
          </w:tcPr>
          <w:p>
            <w:pPr>
              <w:spacing w:before="40" w:after="40"/>
            </w:pPr>
            <w:r/>
            <w:r>
              <w:rPr>
                <w:b/>
                <w:sz w:val="19"/>
              </w:rPr>
              <w:t>Random Forest</w:t>
            </w:r>
          </w:p>
        </w:tc>
        <w:tc>
          <w:tcPr>
            <w:tcW w:type="dxa" w:w="4514"/>
          </w:tcPr>
          <w:p>
            <w:pPr>
              <w:spacing w:before="40" w:after="40"/>
            </w:pPr>
            <w:r/>
            <w:r>
              <w:rPr>
                <w:sz w:val="19"/>
              </w:rPr>
              <w:t xml:space="preserve">300 trees, unrestricted depth, </w:t>
            </w:r>
            <w:r>
              <w:rPr>
                <w:rFonts w:ascii="Consolas" w:hAnsi="Consolas"/>
                <w:color w:val="24292E"/>
                <w:sz w:val="17"/>
              </w:rPr>
              <w:t>max_features='sqrt'</w:t>
            </w:r>
            <w:r>
              <w:rPr>
                <w:sz w:val="19"/>
              </w:rPr>
              <w:t>, balanced class weights</w:t>
            </w:r>
          </w:p>
        </w:tc>
      </w:tr>
      <w:tr>
        <w:tc>
          <w:tcPr>
            <w:tcW w:type="dxa" w:w="4514"/>
          </w:tcPr>
          <w:p>
            <w:pPr>
              <w:spacing w:before="40" w:after="40"/>
            </w:pPr>
            <w:r/>
            <w:r>
              <w:rPr>
                <w:b/>
                <w:sz w:val="19"/>
              </w:rPr>
              <w:t>Gradient Boosting</w:t>
            </w:r>
          </w:p>
        </w:tc>
        <w:tc>
          <w:tcPr>
            <w:tcW w:type="dxa" w:w="4514"/>
          </w:tcPr>
          <w:p>
            <w:pPr>
              <w:spacing w:before="40" w:after="40"/>
            </w:pPr>
            <w:r/>
            <w:r>
              <w:rPr>
                <w:sz w:val="19"/>
              </w:rPr>
              <w:t>Histogram-based, 300 iterations, depth 8, learning rate 0.05, L2 = 1.0, early stopping</w:t>
            </w:r>
          </w:p>
        </w:tc>
      </w:tr>
      <w:tr>
        <w:tc>
          <w:tcPr>
            <w:tcW w:type="dxa" w:w="4514"/>
          </w:tcPr>
          <w:p>
            <w:pPr>
              <w:spacing w:before="40" w:after="40"/>
            </w:pPr>
            <w:r/>
            <w:r>
              <w:rPr>
                <w:b/>
                <w:sz w:val="19"/>
              </w:rPr>
              <w:t>Deep Neural Network</w:t>
            </w:r>
          </w:p>
        </w:tc>
        <w:tc>
          <w:tcPr>
            <w:tcW w:type="dxa" w:w="4514"/>
          </w:tcPr>
          <w:p>
            <w:pPr>
              <w:spacing w:before="40" w:after="40"/>
            </w:pPr>
            <w:r/>
            <w:r>
              <w:rPr>
                <w:sz w:val="19"/>
              </w:rPr>
              <w:t>Multi-layer perceptron, hidden layers (512, 256, 128), ReLU, Adam, α = 1e-4, batch 256, adaptive learning rate, early stopping on a 10% validation split</w:t>
            </w:r>
          </w:p>
        </w:tc>
      </w:tr>
      <w:tr>
        <w:tc>
          <w:tcPr>
            <w:tcW w:type="dxa" w:w="4514"/>
          </w:tcPr>
          <w:p>
            <w:pPr>
              <w:spacing w:before="40" w:after="40"/>
            </w:pPr>
            <w:r/>
            <w:r>
              <w:rPr>
                <w:b/>
                <w:sz w:val="19"/>
              </w:rPr>
              <w:t>Voting Ensemble</w:t>
            </w:r>
          </w:p>
        </w:tc>
        <w:tc>
          <w:tcPr>
            <w:tcW w:type="dxa" w:w="4514"/>
          </w:tcPr>
          <w:p>
            <w:pPr>
              <w:spacing w:before="40" w:after="40"/>
            </w:pPr>
            <w:r/>
            <w:r>
              <w:rPr>
                <w:sz w:val="19"/>
              </w:rPr>
              <w:t>Soft voting over the three models above</w:t>
            </w:r>
          </w:p>
        </w:tc>
      </w:tr>
    </w:tbl>
    <w:p>
      <w:pPr>
        <w:spacing w:after="80"/>
      </w:pPr>
    </w:p>
    <w:p>
      <w:pPr>
        <w:spacing w:after="160" w:line="276" w:lineRule="auto"/>
        <w:jc w:val="both"/>
      </w:pPr>
      <w:r>
        <w:rPr>
          <w:sz w:val="22"/>
        </w:rPr>
        <w:t xml:space="preserve">All four use </w:t>
      </w:r>
      <w:r>
        <w:rPr>
          <w:b/>
          <w:sz w:val="22"/>
        </w:rPr>
        <w:t>balanced class weighting</w:t>
      </w:r>
      <w:r>
        <w:rPr>
          <w:sz w:val="22"/>
        </w:rPr>
        <w:t xml:space="preserve"> where supported, instructing the learner to penalise errors on rare classes more heavily — a partial countermeasure to the imbalance documented in Section 4.2.1.</w:t>
      </w:r>
    </w:p>
    <w:p>
      <w:pPr>
        <w:pStyle w:val="Heading3"/>
        <w:spacing w:before="200" w:after="120"/>
      </w:pPr>
      <w:r>
        <w:rPr>
          <w:color w:val="1F3B73"/>
          <w:sz w:val="25"/>
        </w:rPr>
        <w:t>4.5.2 Anomaly Layer Training</w:t>
      </w:r>
    </w:p>
    <w:p>
      <w:pPr>
        <w:spacing w:after="160" w:line="276" w:lineRule="auto"/>
        <w:jc w:val="both"/>
      </w:pPr>
      <w:r>
        <w:rPr>
          <w:sz w:val="22"/>
        </w:rPr>
        <w:t xml:space="preserve">The Isolation Forest and autoencoder were trained on </w:t>
      </w:r>
      <w:r>
        <w:rPr>
          <w:b/>
          <w:sz w:val="22"/>
        </w:rPr>
        <w:t>BENIGN samples only</w:t>
      </w:r>
      <w:r>
        <w:rPr>
          <w:sz w:val="22"/>
        </w:rPr>
        <w:t xml:space="preserve">, with a contamination parameter of 0.05. Training on benign traffic alone is what allows the layer to flag genuinely unfamiliar behaviour rather than only the attack types present in the dataset. Thresholds were calibrated on the training distribution and persisted to </w:t>
      </w:r>
      <w:r>
        <w:rPr>
          <w:rFonts w:ascii="Consolas" w:hAnsi="Consolas"/>
          <w:color w:val="24292E"/>
          <w:sz w:val="20"/>
        </w:rPr>
        <w:t>artifacts/anomaly_thresholds.json</w:t>
      </w:r>
      <w:r>
        <w:rPr>
          <w:sz w:val="22"/>
        </w:rPr>
        <w:t>.</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Training vs Validation Loss Curve for the DNN]</w:t>
      </w:r>
    </w:p>
    <w:p>
      <w:pPr>
        <w:spacing w:after="160" w:line="276" w:lineRule="auto"/>
        <w:jc w:val="both"/>
      </w:pPr>
      <w:r>
        <w:rPr>
          <w:i/>
          <w:sz w:val="22"/>
        </w:rPr>
        <w:t>(Generated from the `loss_curve_` and `validation_scores_` attributes of the fitted `MLPClassifier`. If this figure was not saved during your run, it can be regenerated by re-fitting with the same seed and plotting these attributes.)</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Training console output showing early stopping triggering on the DNN]</w:t>
      </w:r>
    </w:p>
    <w:p>
      <w:pPr>
        <w:spacing w:before="40" w:after="40"/>
        <w:pBdr>
          <w:bottom w:val="single" w:sz="6" w:space="1" w:color="BBBBBB"/>
        </w:pBdr>
      </w:pPr>
    </w:p>
    <w:p>
      <w:pPr>
        <w:pStyle w:val="Heading2"/>
        <w:spacing w:before="280" w:after="120"/>
      </w:pPr>
      <w:r>
        <w:rPr>
          <w:color w:val="1F3B73"/>
          <w:sz w:val="30"/>
        </w:rPr>
        <w:t>4.6 Testing and Evaluation Methodology</w:t>
      </w:r>
    </w:p>
    <w:p>
      <w:pPr>
        <w:spacing w:after="160" w:line="276" w:lineRule="auto"/>
        <w:jc w:val="both"/>
      </w:pPr>
      <w:r>
        <w:rPr>
          <w:sz w:val="22"/>
        </w:rPr>
        <w:t xml:space="preserve">Testing was conducted at four levels. This structure is reported in detail because the most consequential defects found in this project were </w:t>
      </w:r>
      <w:r>
        <w:rPr>
          <w:b/>
          <w:sz w:val="22"/>
        </w:rPr>
        <w:t>not</w:t>
      </w:r>
      <w:r>
        <w:rPr>
          <w:sz w:val="22"/>
        </w:rPr>
        <w:t xml:space="preserve"> caught by model evaluation — they were caught by integration testing, and they were invisible to accuracy metrics.</w:t>
      </w:r>
    </w:p>
    <w:p>
      <w:pPr>
        <w:pStyle w:val="Heading3"/>
        <w:spacing w:before="200" w:after="120"/>
      </w:pPr>
      <w:r>
        <w:rPr>
          <w:color w:val="1F3B73"/>
          <w:sz w:val="25"/>
        </w:rPr>
        <w:t>4.6.1 Level 1 — Automated Unit and Integration Tests</w:t>
      </w:r>
    </w:p>
    <w:p>
      <w:pPr>
        <w:spacing w:after="160" w:line="276" w:lineRule="auto"/>
        <w:jc w:val="both"/>
      </w:pPr>
      <w:r>
        <w:rPr>
          <w:sz w:val="22"/>
        </w:rPr>
        <w:t xml:space="preserve">An automated suite of </w:t>
      </w:r>
      <w:r>
        <w:rPr>
          <w:b/>
          <w:sz w:val="22"/>
        </w:rPr>
        <w:t>446 tests</w:t>
      </w:r>
      <w:r>
        <w:rPr>
          <w:sz w:val="22"/>
        </w:rPr>
        <w:t xml:space="preserve"> covers the platform. Its distribution reflects where correctness is hardest to verify by inspection:</w:t>
      </w:r>
    </w:p>
    <w:tbl>
      <w:tblPr>
        <w:tblStyle w:val="TableGrid"/>
        <w:tblW w:type="auto" w:w="0"/>
        <w:jc w:val="center"/>
        <w:tblLayout w:type="autofit"/>
        <w:tblLook w:firstColumn="1" w:firstRow="1" w:lastColumn="0" w:lastRow="0" w:noHBand="0" w:noVBand="1" w:val="04A0"/>
      </w:tblPr>
      <w:tblGrid>
        <w:gridCol w:w="4514"/>
        <w:gridCol w:w="4514"/>
      </w:tblGrid>
      <w:tr>
        <w:trPr>
          <w:tblHeader w:val="true"/>
        </w:trPr>
        <w:tc>
          <w:tcPr>
            <w:tcW w:type="dxa" w:w="4514"/>
            <w:shd w:val="clear" w:color="auto" w:fill="1F3B73"/>
          </w:tcPr>
          <w:p>
            <w:pPr>
              <w:spacing w:before="40" w:after="40"/>
            </w:pPr>
            <w:r/>
            <w:r>
              <w:rPr>
                <w:b/>
                <w:color w:val="FFFFFF"/>
                <w:sz w:val="19"/>
              </w:rPr>
              <w:t>Area</w:t>
            </w:r>
          </w:p>
        </w:tc>
        <w:tc>
          <w:tcPr>
            <w:tcW w:type="dxa" w:w="4514"/>
            <w:shd w:val="clear" w:color="auto" w:fill="1F3B73"/>
          </w:tcPr>
          <w:p>
            <w:pPr>
              <w:spacing w:before="40" w:after="40"/>
            </w:pPr>
            <w:r/>
            <w:r>
              <w:rPr>
                <w:b/>
                <w:color w:val="FFFFFF"/>
                <w:sz w:val="19"/>
              </w:rPr>
              <w:t>Focus</w:t>
            </w:r>
          </w:p>
        </w:tc>
      </w:tr>
      <w:tr>
        <w:tc>
          <w:tcPr>
            <w:tcW w:type="dxa" w:w="4514"/>
          </w:tcPr>
          <w:p>
            <w:pPr>
              <w:spacing w:before="40" w:after="40"/>
            </w:pPr>
            <w:r/>
            <w:r>
              <w:rPr>
                <w:sz w:val="19"/>
              </w:rPr>
              <w:t>Platform schemas</w:t>
            </w:r>
          </w:p>
        </w:tc>
        <w:tc>
          <w:tcPr>
            <w:tcW w:type="dxa" w:w="4514"/>
          </w:tcPr>
          <w:p>
            <w:pPr>
              <w:spacing w:before="40" w:after="40"/>
            </w:pPr>
            <w:r/>
            <w:r>
              <w:rPr>
                <w:sz w:val="19"/>
              </w:rPr>
              <w:t>Validation rules and invariants</w:t>
            </w:r>
          </w:p>
        </w:tc>
      </w:tr>
      <w:tr>
        <w:tc>
          <w:tcPr>
            <w:tcW w:type="dxa" w:w="4514"/>
          </w:tcPr>
          <w:p>
            <w:pPr>
              <w:spacing w:before="40" w:after="40"/>
            </w:pPr>
            <w:r/>
            <w:r>
              <w:rPr>
                <w:sz w:val="19"/>
              </w:rPr>
              <w:t>Ingestion</w:t>
            </w:r>
          </w:p>
        </w:tc>
        <w:tc>
          <w:tcPr>
            <w:tcW w:type="dxa" w:w="4514"/>
          </w:tcPr>
          <w:p>
            <w:pPr>
              <w:spacing w:before="40" w:after="40"/>
            </w:pPr>
            <w:r/>
            <w:r>
              <w:rPr>
                <w:sz w:val="19"/>
              </w:rPr>
              <w:t>Feature contract, unit conversion, stream durability, capture lifecycle</w:t>
            </w:r>
          </w:p>
        </w:tc>
      </w:tr>
      <w:tr>
        <w:tc>
          <w:tcPr>
            <w:tcW w:type="dxa" w:w="4514"/>
          </w:tcPr>
          <w:p>
            <w:pPr>
              <w:spacing w:before="40" w:after="40"/>
            </w:pPr>
            <w:r/>
            <w:r>
              <w:rPr>
                <w:sz w:val="19"/>
              </w:rPr>
              <w:t>Agents</w:t>
            </w:r>
          </w:p>
        </w:tc>
        <w:tc>
          <w:tcPr>
            <w:tcW w:type="dxa" w:w="4514"/>
          </w:tcPr>
          <w:p>
            <w:pPr>
              <w:spacing w:before="40" w:after="40"/>
            </w:pPr>
            <w:r/>
            <w:r>
              <w:rPr>
                <w:sz w:val="19"/>
              </w:rPr>
              <w:t>Routing, stall detection, policy evaluation, response authorisation</w:t>
            </w:r>
          </w:p>
        </w:tc>
      </w:tr>
      <w:tr>
        <w:tc>
          <w:tcPr>
            <w:tcW w:type="dxa" w:w="4514"/>
          </w:tcPr>
          <w:p>
            <w:pPr>
              <w:spacing w:before="40" w:after="40"/>
            </w:pPr>
            <w:r/>
            <w:r>
              <w:rPr>
                <w:sz w:val="19"/>
              </w:rPr>
              <w:t>Adapters</w:t>
            </w:r>
          </w:p>
        </w:tc>
        <w:tc>
          <w:tcPr>
            <w:tcW w:type="dxa" w:w="4514"/>
          </w:tcPr>
          <w:p>
            <w:pPr>
              <w:spacing w:before="40" w:after="40"/>
            </w:pPr>
            <w:r/>
            <w:r>
              <w:rPr>
                <w:sz w:val="19"/>
              </w:rPr>
              <w:t>Detection output mapping, executor behaviour</w:t>
            </w:r>
          </w:p>
        </w:tc>
      </w:tr>
      <w:tr>
        <w:tc>
          <w:tcPr>
            <w:tcW w:type="dxa" w:w="4514"/>
          </w:tcPr>
          <w:p>
            <w:pPr>
              <w:spacing w:before="40" w:after="40"/>
            </w:pPr>
            <w:r/>
            <w:r>
              <w:rPr>
                <w:sz w:val="19"/>
              </w:rPr>
              <w:t>Memory</w:t>
            </w:r>
          </w:p>
        </w:tc>
        <w:tc>
          <w:tcPr>
            <w:tcW w:type="dxa" w:w="4514"/>
          </w:tcPr>
          <w:p>
            <w:pPr>
              <w:spacing w:before="40" w:after="40"/>
            </w:pPr>
            <w:r/>
            <w:r>
              <w:rPr>
                <w:sz w:val="19"/>
              </w:rPr>
              <w:t>Storage, retrieval, concurrency</w:t>
            </w:r>
          </w:p>
        </w:tc>
      </w:tr>
      <w:tr>
        <w:tc>
          <w:tcPr>
            <w:tcW w:type="dxa" w:w="4514"/>
          </w:tcPr>
          <w:p>
            <w:pPr>
              <w:spacing w:before="40" w:after="40"/>
            </w:pPr>
            <w:r/>
            <w:r>
              <w:rPr>
                <w:sz w:val="19"/>
              </w:rPr>
              <w:t>Metrics &amp; manifest</w:t>
            </w:r>
          </w:p>
        </w:tc>
        <w:tc>
          <w:tcPr>
            <w:tcW w:type="dxa" w:w="4514"/>
          </w:tcPr>
          <w:p>
            <w:pPr>
              <w:spacing w:before="40" w:after="40"/>
            </w:pPr>
            <w:r/>
            <w:r>
              <w:rPr>
                <w:sz w:val="19"/>
              </w:rPr>
              <w:t>Output format and model-selection rules</w:t>
            </w:r>
          </w:p>
        </w:tc>
      </w:tr>
    </w:tbl>
    <w:p>
      <w:pPr>
        <w:spacing w:after="80"/>
      </w:pPr>
    </w:p>
    <w:p>
      <w:pPr>
        <w:spacing w:after="160" w:line="276" w:lineRule="auto"/>
        <w:jc w:val="both"/>
      </w:pPr>
      <w:r>
        <w:rPr>
          <w:sz w:val="22"/>
        </w:rPr>
        <w:t>Stream tests run against an in-process Redis substitute rather than a live server, on the principle that a durability test requiring external infrastructure is a test that gets skipped — and durability guarantees are exactly the ones whose failure goes unnoticed until production.</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Terminal output of python -m pytest -q showing 446 tests passing]</w:t>
      </w:r>
    </w:p>
    <w:p>
      <w:pPr>
        <w:pStyle w:val="Heading3"/>
        <w:spacing w:before="200" w:after="120"/>
      </w:pPr>
      <w:r>
        <w:rPr>
          <w:color w:val="1F3B73"/>
          <w:sz w:val="25"/>
        </w:rPr>
        <w:t>4.6.2 Level 2 — Model Evaluation</w:t>
      </w:r>
    </w:p>
    <w:p>
      <w:pPr>
        <w:spacing w:after="160" w:line="276" w:lineRule="auto"/>
        <w:jc w:val="both"/>
      </w:pPr>
      <w:r>
        <w:rPr>
          <w:sz w:val="22"/>
        </w:rPr>
        <w:t xml:space="preserve">Each classifier was evaluated on the held-out 100,088-sample test set using accuracy, precision, recall, F1-score and ROC-AUC, computed both </w:t>
      </w:r>
      <w:r>
        <w:rPr>
          <w:b/>
          <w:sz w:val="22"/>
        </w:rPr>
        <w:t>weighted</w:t>
      </w:r>
      <w:r>
        <w:rPr>
          <w:sz w:val="22"/>
        </w:rPr>
        <w:t xml:space="preserve"> (averaged across samples) and </w:t>
      </w:r>
      <w:r>
        <w:rPr>
          <w:b/>
          <w:sz w:val="22"/>
        </w:rPr>
        <w:t>macro</w:t>
      </w:r>
      <w:r>
        <w:rPr>
          <w:sz w:val="22"/>
        </w:rPr>
        <w:t xml:space="preserve"> (averaged across classes). Per-class confusion matrices were generated for each model. Results are presented in Section 4.7.</w:t>
      </w:r>
    </w:p>
    <w:p>
      <w:pPr>
        <w:pStyle w:val="Heading3"/>
        <w:spacing w:before="200" w:after="120"/>
      </w:pPr>
      <w:r>
        <w:rPr>
          <w:color w:val="1F3B73"/>
          <w:sz w:val="25"/>
        </w:rPr>
        <w:t>4.6.3 Level 3 — Interface Contract Testing</w:t>
      </w:r>
    </w:p>
    <w:p>
      <w:pPr>
        <w:spacing w:after="160" w:line="276" w:lineRule="auto"/>
        <w:jc w:val="both"/>
      </w:pPr>
      <w:r>
        <w:rPr>
          <w:sz w:val="22"/>
        </w:rPr>
        <w:t xml:space="preserve">This level tests the </w:t>
      </w:r>
      <w:r>
        <w:rPr>
          <w:i/>
          <w:sz w:val="22"/>
        </w:rPr>
        <w:t>boundaries between components</w:t>
      </w:r>
      <w:r>
        <w:rPr>
          <w:sz w:val="22"/>
        </w:rPr>
        <w:t xml:space="preserve"> rather than the components themselves, and it revealed the most serious defect found during the project.</w:t>
      </w:r>
    </w:p>
    <w:p>
      <w:pPr>
        <w:spacing w:after="160" w:line="276" w:lineRule="auto"/>
        <w:jc w:val="both"/>
      </w:pPr>
      <w:r>
        <w:rPr>
          <w:sz w:val="22"/>
        </w:rPr>
        <w:t xml:space="preserve">The trained model expects features under CICIDS2017 names in specific units, for example </w:t>
      </w:r>
      <w:r>
        <w:rPr>
          <w:rFonts w:ascii="Consolas" w:hAnsi="Consolas"/>
          <w:color w:val="24292E"/>
          <w:sz w:val="20"/>
        </w:rPr>
        <w:t>Flow Duration</w:t>
      </w:r>
      <w:r>
        <w:rPr>
          <w:sz w:val="22"/>
        </w:rPr>
        <w:t xml:space="preserve"> measured in </w:t>
      </w:r>
      <w:r>
        <w:rPr>
          <w:b/>
          <w:sz w:val="22"/>
        </w:rPr>
        <w:t>microseconds</w:t>
      </w:r>
      <w:r>
        <w:rPr>
          <w:sz w:val="22"/>
        </w:rPr>
        <w:t xml:space="preserve">. The live capture tool used for real traffic emits </w:t>
      </w:r>
      <w:r>
        <w:rPr>
          <w:rFonts w:ascii="Consolas" w:hAnsi="Consolas"/>
          <w:color w:val="24292E"/>
          <w:sz w:val="20"/>
        </w:rPr>
        <w:t>flow_duration</w:t>
      </w:r>
      <w:r>
        <w:rPr>
          <w:sz w:val="22"/>
        </w:rPr>
        <w:t xml:space="preserve"> in </w:t>
      </w:r>
      <w:r>
        <w:rPr>
          <w:b/>
          <w:sz w:val="22"/>
        </w:rPr>
        <w:t>seconds</w:t>
      </w:r>
      <w:r>
        <w:rPr>
          <w:sz w:val="22"/>
        </w:rPr>
        <w:t>. Two independent mismatches therefore separated the live pipeline from the model:</w:t>
      </w:r>
    </w:p>
    <w:p>
      <w:pPr>
        <w:pStyle w:val="ListNumber"/>
        <w:spacing w:after="60"/>
      </w:pPr>
      <w:r>
        <w:rPr>
          <w:b/>
          <w:sz w:val="22"/>
        </w:rPr>
        <w:t>Naming.</w:t>
      </w:r>
      <w:r>
        <w:rPr>
          <w:sz w:val="22"/>
        </w:rPr>
        <w:t xml:space="preserve"> The tool emits </w:t>
      </w:r>
      <w:r>
        <w:rPr>
          <w:rFonts w:ascii="Consolas" w:hAnsi="Consolas"/>
          <w:color w:val="24292E"/>
          <w:sz w:val="20"/>
        </w:rPr>
        <w:t>snake_case</w:t>
      </w:r>
      <w:r>
        <w:rPr>
          <w:sz w:val="22"/>
        </w:rPr>
        <w:t xml:space="preserve"> names; the model expects </w:t>
      </w:r>
      <w:r>
        <w:rPr>
          <w:rFonts w:ascii="Consolas" w:hAnsi="Consolas"/>
          <w:color w:val="24292E"/>
          <w:sz w:val="20"/>
        </w:rPr>
        <w:t>Title Case</w:t>
      </w:r>
      <w:r>
        <w:rPr>
          <w:sz w:val="22"/>
        </w:rPr>
        <w:t>.</w:t>
      </w:r>
    </w:p>
    <w:p>
      <w:pPr>
        <w:spacing w:after="160" w:line="276" w:lineRule="auto"/>
        <w:jc w:val="both"/>
      </w:pPr>
      <w:r>
        <w:rPr>
          <w:sz w:val="22"/>
        </w:rPr>
        <w:t>None of the 42 required features matched by name.</w:t>
      </w:r>
    </w:p>
    <w:p>
      <w:pPr>
        <w:pStyle w:val="ListNumber"/>
        <w:spacing w:after="60"/>
      </w:pPr>
      <w:r>
        <w:rPr>
          <w:b/>
          <w:sz w:val="22"/>
        </w:rPr>
        <w:t>Units.</w:t>
      </w:r>
      <w:r>
        <w:rPr>
          <w:sz w:val="22"/>
        </w:rPr>
        <w:t xml:space="preserve"> Thirteen time-domain features are expressed in seconds by the capture</w:t>
      </w:r>
    </w:p>
    <w:p>
      <w:pPr>
        <w:spacing w:after="160" w:line="276" w:lineRule="auto"/>
        <w:jc w:val="both"/>
      </w:pPr>
      <w:r>
        <w:rPr>
          <w:sz w:val="22"/>
        </w:rPr>
        <w:t>tool and microseconds by the dataset — a factor of one million.</w:t>
      </w:r>
    </w:p>
    <w:p>
      <w:pPr>
        <w:spacing w:after="160" w:line="276" w:lineRule="auto"/>
        <w:jc w:val="both"/>
      </w:pPr>
      <w:r>
        <w:rPr>
          <w:sz w:val="22"/>
        </w:rPr>
        <w:t>Neither mismatch raises an error. Unmatched features are filled with zero, and the model dutifully classifies the resulting near-empty vector. The consequence was observable in a stored prediction file covering 5,155 real captured flows:</w:t>
      </w:r>
    </w:p>
    <w:tbl>
      <w:tblPr>
        <w:tblStyle w:val="TableGrid"/>
        <w:tblW w:type="auto" w:w="0"/>
        <w:jc w:val="center"/>
        <w:tblLayout w:type="autofit"/>
        <w:tblLook w:firstColumn="1" w:firstRow="1" w:lastColumn="0" w:lastRow="0" w:noHBand="0" w:noVBand="1" w:val="04A0"/>
      </w:tblPr>
      <w:tblGrid>
        <w:gridCol w:w="3010"/>
        <w:gridCol w:w="3010"/>
        <w:gridCol w:w="3010"/>
      </w:tblGrid>
      <w:tr>
        <w:trPr>
          <w:tblHeader w:val="true"/>
        </w:trPr>
        <w:tc>
          <w:tcPr>
            <w:tcW w:type="dxa" w:w="3010"/>
            <w:shd w:val="clear" w:color="auto" w:fill="1F3B73"/>
          </w:tcPr>
          <w:p>
            <w:pPr>
              <w:spacing w:before="40" w:after="40"/>
            </w:pPr>
            <w:r/>
            <w:r>
              <w:rPr>
                <w:b/>
                <w:color w:val="FFFFFF"/>
                <w:sz w:val="19"/>
              </w:rPr>
              <w:t>Metric</w:t>
            </w:r>
          </w:p>
        </w:tc>
        <w:tc>
          <w:tcPr>
            <w:tcW w:type="dxa" w:w="3010"/>
            <w:shd w:val="clear" w:color="auto" w:fill="1F3B73"/>
          </w:tcPr>
          <w:p>
            <w:pPr>
              <w:spacing w:before="40" w:after="40"/>
            </w:pPr>
            <w:r/>
            <w:r>
              <w:rPr>
                <w:b/>
                <w:color w:val="FFFFFF"/>
                <w:sz w:val="19"/>
              </w:rPr>
              <w:t>Value</w:t>
            </w:r>
          </w:p>
        </w:tc>
        <w:tc>
          <w:tcPr>
            <w:tcW w:type="dxa" w:w="3010"/>
            <w:shd w:val="clear" w:color="auto" w:fill="1F3B73"/>
          </w:tcPr>
          <w:p>
            <w:pPr>
              <w:spacing w:before="40" w:after="40"/>
            </w:pPr>
            <w:r/>
            <w:r>
              <w:rPr>
                <w:b/>
                <w:color w:val="FFFFFF"/>
                <w:sz w:val="19"/>
              </w:rPr>
              <w:t>Interpretation</w:t>
            </w:r>
          </w:p>
        </w:tc>
      </w:tr>
      <w:tr>
        <w:tc>
          <w:tcPr>
            <w:tcW w:type="dxa" w:w="3010"/>
          </w:tcPr>
          <w:p>
            <w:pPr>
              <w:spacing w:before="40" w:after="40"/>
            </w:pPr>
            <w:r/>
            <w:r>
              <w:rPr>
                <w:sz w:val="19"/>
              </w:rPr>
              <w:t>Predicted class</w:t>
            </w:r>
          </w:p>
        </w:tc>
        <w:tc>
          <w:tcPr>
            <w:tcW w:type="dxa" w:w="3010"/>
          </w:tcPr>
          <w:p>
            <w:pPr>
              <w:spacing w:before="40" w:after="40"/>
            </w:pPr>
            <w:r/>
            <w:r>
              <w:rPr>
                <w:sz w:val="19"/>
              </w:rPr>
              <w:t>BENIGN for all 5,155 flows</w:t>
            </w:r>
          </w:p>
        </w:tc>
        <w:tc>
          <w:tcPr>
            <w:tcW w:type="dxa" w:w="3010"/>
          </w:tcPr>
          <w:p>
            <w:pPr>
              <w:spacing w:before="40" w:after="40"/>
            </w:pPr>
            <w:r/>
            <w:r>
              <w:rPr>
                <w:sz w:val="19"/>
              </w:rPr>
              <w:t>No variation whatsoever</w:t>
            </w:r>
          </w:p>
        </w:tc>
      </w:tr>
      <w:tr>
        <w:tc>
          <w:tcPr>
            <w:tcW w:type="dxa" w:w="3010"/>
          </w:tcPr>
          <w:p>
            <w:pPr>
              <w:spacing w:before="40" w:after="40"/>
            </w:pPr>
            <w:r/>
            <w:r>
              <w:rPr>
                <w:sz w:val="19"/>
              </w:rPr>
              <w:t>Mean confidence</w:t>
            </w:r>
          </w:p>
        </w:tc>
        <w:tc>
          <w:tcPr>
            <w:tcW w:type="dxa" w:w="3010"/>
          </w:tcPr>
          <w:p>
            <w:pPr>
              <w:spacing w:before="40" w:after="40"/>
            </w:pPr>
            <w:r/>
            <w:r>
              <w:rPr>
                <w:sz w:val="19"/>
              </w:rPr>
              <w:t>1.000</w:t>
            </w:r>
          </w:p>
        </w:tc>
        <w:tc>
          <w:tcPr>
            <w:tcW w:type="dxa" w:w="3010"/>
          </w:tcPr>
          <w:p>
            <w:pPr>
              <w:spacing w:before="40" w:after="40"/>
            </w:pPr>
            <w:r/>
            <w:r>
              <w:rPr>
                <w:sz w:val="19"/>
              </w:rPr>
              <w:t>Maximum certainty</w:t>
            </w:r>
          </w:p>
        </w:tc>
      </w:tr>
      <w:tr>
        <w:tc>
          <w:tcPr>
            <w:tcW w:type="dxa" w:w="3010"/>
          </w:tcPr>
          <w:p>
            <w:pPr>
              <w:spacing w:before="40" w:after="40"/>
            </w:pPr>
            <w:r/>
            <w:r>
              <w:rPr>
                <w:sz w:val="19"/>
              </w:rPr>
              <w:t>Standard deviation of confidence</w:t>
            </w:r>
          </w:p>
        </w:tc>
        <w:tc>
          <w:tcPr>
            <w:tcW w:type="dxa" w:w="3010"/>
          </w:tcPr>
          <w:p>
            <w:pPr>
              <w:spacing w:before="40" w:after="40"/>
            </w:pPr>
            <w:r/>
            <w:r>
              <w:rPr>
                <w:sz w:val="19"/>
              </w:rPr>
              <w:t>0.000</w:t>
            </w:r>
          </w:p>
        </w:tc>
        <w:tc>
          <w:tcPr>
            <w:tcW w:type="dxa" w:w="3010"/>
          </w:tcPr>
          <w:p>
            <w:pPr>
              <w:spacing w:before="40" w:after="40"/>
            </w:pPr>
            <w:r/>
            <w:r>
              <w:rPr>
                <w:sz w:val="19"/>
              </w:rPr>
              <w:t>Identical input for every row</w:t>
            </w:r>
          </w:p>
        </w:tc>
      </w:tr>
      <w:tr>
        <w:tc>
          <w:tcPr>
            <w:tcW w:type="dxa" w:w="3010"/>
          </w:tcPr>
          <w:p>
            <w:pPr>
              <w:spacing w:before="40" w:after="40"/>
            </w:pPr>
            <w:r/>
            <w:r>
              <w:rPr>
                <w:sz w:val="19"/>
              </w:rPr>
              <w:t>Features populated</w:t>
            </w:r>
          </w:p>
        </w:tc>
        <w:tc>
          <w:tcPr>
            <w:tcW w:type="dxa" w:w="3010"/>
          </w:tcPr>
          <w:p>
            <w:pPr>
              <w:spacing w:before="40" w:after="40"/>
            </w:pPr>
            <w:r/>
            <w:r>
              <w:rPr>
                <w:sz w:val="19"/>
              </w:rPr>
              <w:t>0 of 42</w:t>
            </w:r>
          </w:p>
        </w:tc>
        <w:tc>
          <w:tcPr>
            <w:tcW w:type="dxa" w:w="3010"/>
          </w:tcPr>
          <w:p>
            <w:pPr>
              <w:spacing w:before="40" w:after="40"/>
            </w:pPr>
            <w:r/>
            <w:r>
              <w:rPr>
                <w:sz w:val="19"/>
              </w:rPr>
              <w:t>Every value was zero-filled</w:t>
            </w:r>
          </w:p>
        </w:tc>
      </w:tr>
    </w:tbl>
    <w:p>
      <w:pPr>
        <w:spacing w:after="80"/>
      </w:pPr>
    </w:p>
    <w:p>
      <w:pPr>
        <w:spacing w:after="160" w:line="276" w:lineRule="auto"/>
        <w:jc w:val="both"/>
      </w:pPr>
      <w:r>
        <w:rPr>
          <w:b/>
          <w:sz w:val="22"/>
        </w:rPr>
        <w:t>Zero variance in confidence across five thousand distinct flows is the signature of a constant input vector, not of genuinely benign traffic.</w:t>
      </w:r>
      <w:r>
        <w:rPr>
          <w:sz w:val="22"/>
        </w:rPr>
        <w:t xml:space="preserve"> The detector was reporting the network clean with maximum confidence while receiving no information at all. Critically, </w:t>
      </w:r>
      <w:r>
        <w:rPr>
          <w:i/>
          <w:sz w:val="22"/>
        </w:rPr>
        <w:t>every standard evaluation metric remained at 99%</w:t>
      </w:r>
      <w:r>
        <w:rPr>
          <w:sz w:val="22"/>
        </w:rPr>
        <w:t>, because those metrics are computed on the dataset, not on live traffic.</w:t>
      </w:r>
    </w:p>
    <w:p>
      <w:pPr>
        <w:spacing w:after="160" w:line="276" w:lineRule="auto"/>
        <w:jc w:val="both"/>
      </w:pPr>
      <w:r>
        <w:rPr>
          <w:sz w:val="22"/>
        </w:rPr>
        <w:t xml:space="preserve">The remediation introduced an explicit feature-contract module that maps every source column to its model feature and converts the thirteen time features, while listing the four per-second rate features separately so a test can assert they are </w:t>
      </w:r>
      <w:r>
        <w:rPr>
          <w:i/>
          <w:sz w:val="22"/>
        </w:rPr>
        <w:t>never</w:t>
      </w:r>
      <w:r>
        <w:rPr>
          <w:sz w:val="22"/>
        </w:rPr>
        <w:t xml:space="preserve"> scaled — scaling a rate by mistake is the same bug with the sign reversed. A coverage guard was added so that an input matching fewer than half the expected features raises an error rather than producing a confident, meaningless label.</w:t>
      </w:r>
    </w:p>
    <w:p>
      <w:pPr>
        <w:spacing w:after="160" w:line="276" w:lineRule="auto"/>
        <w:jc w:val="both"/>
      </w:pPr>
      <w:r>
        <w:rPr>
          <w:sz w:val="22"/>
        </w:rPr>
        <w:t>Re-running the same 5,155 flows after remediation:</w:t>
      </w:r>
    </w:p>
    <w:tbl>
      <w:tblPr>
        <w:tblStyle w:val="TableGrid"/>
        <w:tblW w:type="auto" w:w="0"/>
        <w:jc w:val="center"/>
        <w:tblLayout w:type="autofit"/>
        <w:tblLook w:firstColumn="1" w:firstRow="1" w:lastColumn="0" w:lastRow="0" w:noHBand="0" w:noVBand="1" w:val="04A0"/>
      </w:tblPr>
      <w:tblGrid>
        <w:gridCol w:w="3010"/>
        <w:gridCol w:w="3010"/>
        <w:gridCol w:w="3010"/>
      </w:tblGrid>
      <w:tr>
        <w:trPr>
          <w:tblHeader w:val="true"/>
        </w:trPr>
        <w:tc>
          <w:tcPr>
            <w:tcW w:type="dxa" w:w="3010"/>
            <w:shd w:val="clear" w:color="auto" w:fill="1F3B73"/>
          </w:tcPr>
          <w:p>
            <w:pPr>
              <w:spacing w:before="40" w:after="40"/>
            </w:pPr>
            <w:r/>
            <w:r>
              <w:rPr>
                <w:b/>
                <w:color w:val="FFFFFF"/>
                <w:sz w:val="19"/>
              </w:rPr>
              <w:t>Metric</w:t>
            </w:r>
          </w:p>
        </w:tc>
        <w:tc>
          <w:tcPr>
            <w:tcW w:type="dxa" w:w="3010"/>
            <w:shd w:val="clear" w:color="auto" w:fill="1F3B73"/>
          </w:tcPr>
          <w:p>
            <w:pPr>
              <w:spacing w:before="40" w:after="40"/>
            </w:pPr>
            <w:r/>
            <w:r>
              <w:rPr>
                <w:b/>
                <w:color w:val="FFFFFF"/>
                <w:sz w:val="19"/>
              </w:rPr>
              <w:t>Before</w:t>
            </w:r>
          </w:p>
        </w:tc>
        <w:tc>
          <w:tcPr>
            <w:tcW w:type="dxa" w:w="3010"/>
            <w:shd w:val="clear" w:color="auto" w:fill="1F3B73"/>
          </w:tcPr>
          <w:p>
            <w:pPr>
              <w:spacing w:before="40" w:after="40"/>
            </w:pPr>
            <w:r/>
            <w:r>
              <w:rPr>
                <w:b/>
                <w:color w:val="FFFFFF"/>
                <w:sz w:val="19"/>
              </w:rPr>
              <w:t>After</w:t>
            </w:r>
          </w:p>
        </w:tc>
      </w:tr>
      <w:tr>
        <w:tc>
          <w:tcPr>
            <w:tcW w:type="dxa" w:w="3010"/>
          </w:tcPr>
          <w:p>
            <w:pPr>
              <w:spacing w:before="40" w:after="40"/>
            </w:pPr>
            <w:r/>
            <w:r>
              <w:rPr>
                <w:sz w:val="19"/>
              </w:rPr>
              <w:t>Features mapped</w:t>
            </w:r>
          </w:p>
        </w:tc>
        <w:tc>
          <w:tcPr>
            <w:tcW w:type="dxa" w:w="3010"/>
          </w:tcPr>
          <w:p>
            <w:pPr>
              <w:spacing w:before="40" w:after="40"/>
            </w:pPr>
            <w:r/>
            <w:r>
              <w:rPr>
                <w:sz w:val="19"/>
              </w:rPr>
              <w:t>0 / 42</w:t>
            </w:r>
          </w:p>
        </w:tc>
        <w:tc>
          <w:tcPr>
            <w:tcW w:type="dxa" w:w="3010"/>
          </w:tcPr>
          <w:p>
            <w:pPr>
              <w:spacing w:before="40" w:after="40"/>
            </w:pPr>
            <w:r/>
            <w:r>
              <w:rPr>
                <w:b/>
                <w:sz w:val="19"/>
              </w:rPr>
              <w:t>42 / 42</w:t>
            </w:r>
          </w:p>
        </w:tc>
      </w:tr>
      <w:tr>
        <w:tc>
          <w:tcPr>
            <w:tcW w:type="dxa" w:w="3010"/>
          </w:tcPr>
          <w:p>
            <w:pPr>
              <w:spacing w:before="40" w:after="40"/>
            </w:pPr>
            <w:r/>
            <w:r>
              <w:rPr>
                <w:sz w:val="19"/>
              </w:rPr>
              <w:t>Non-zero values in scaled matrix</w:t>
            </w:r>
          </w:p>
        </w:tc>
        <w:tc>
          <w:tcPr>
            <w:tcW w:type="dxa" w:w="3010"/>
          </w:tcPr>
          <w:p>
            <w:pPr>
              <w:spacing w:before="40" w:after="40"/>
            </w:pPr>
            <w:r/>
            <w:r>
              <w:rPr>
                <w:sz w:val="19"/>
              </w:rPr>
              <w:t>0%</w:t>
            </w:r>
          </w:p>
        </w:tc>
        <w:tc>
          <w:tcPr>
            <w:tcW w:type="dxa" w:w="3010"/>
          </w:tcPr>
          <w:p>
            <w:pPr>
              <w:spacing w:before="40" w:after="40"/>
            </w:pPr>
            <w:r/>
            <w:r>
              <w:rPr>
                <w:b/>
                <w:sz w:val="19"/>
              </w:rPr>
              <w:t>100%</w:t>
            </w:r>
          </w:p>
        </w:tc>
      </w:tr>
      <w:tr>
        <w:tc>
          <w:tcPr>
            <w:tcW w:type="dxa" w:w="3010"/>
          </w:tcPr>
          <w:p>
            <w:pPr>
              <w:spacing w:before="40" w:after="40"/>
            </w:pPr>
            <w:r/>
            <w:r>
              <w:rPr>
                <w:sz w:val="19"/>
              </w:rPr>
              <w:t>Flows flagged by anomaly layer</w:t>
            </w:r>
          </w:p>
        </w:tc>
        <w:tc>
          <w:tcPr>
            <w:tcW w:type="dxa" w:w="3010"/>
          </w:tcPr>
          <w:p>
            <w:pPr>
              <w:spacing w:before="40" w:after="40"/>
            </w:pPr>
            <w:r/>
            <w:r>
              <w:rPr>
                <w:sz w:val="19"/>
              </w:rPr>
              <w:t>0</w:t>
            </w:r>
          </w:p>
        </w:tc>
        <w:tc>
          <w:tcPr>
            <w:tcW w:type="dxa" w:w="3010"/>
          </w:tcPr>
          <w:p>
            <w:pPr>
              <w:spacing w:before="40" w:after="40"/>
            </w:pPr>
            <w:r/>
            <w:r>
              <w:rPr>
                <w:b/>
                <w:sz w:val="19"/>
              </w:rPr>
              <w:t>60</w:t>
            </w:r>
          </w:p>
        </w:tc>
      </w:tr>
      <w:tr>
        <w:tc>
          <w:tcPr>
            <w:tcW w:type="dxa" w:w="3010"/>
          </w:tcPr>
          <w:p>
            <w:pPr>
              <w:spacing w:before="40" w:after="40"/>
            </w:pPr>
            <w:r/>
            <w:r>
              <w:rPr>
                <w:rFonts w:ascii="Consolas" w:hAnsi="Consolas"/>
                <w:color w:val="24292E"/>
                <w:sz w:val="17"/>
              </w:rPr>
              <w:t>Flow Duration</w:t>
            </w:r>
            <w:r>
              <w:rPr>
                <w:sz w:val="19"/>
              </w:rPr>
              <w:t xml:space="preserve"> (median)</w:t>
            </w:r>
          </w:p>
        </w:tc>
        <w:tc>
          <w:tcPr>
            <w:tcW w:type="dxa" w:w="3010"/>
          </w:tcPr>
          <w:p>
            <w:pPr>
              <w:spacing w:before="40" w:after="40"/>
            </w:pPr>
            <w:r/>
            <w:r>
              <w:rPr>
                <w:sz w:val="19"/>
              </w:rPr>
              <w:t>0 (zero-filled)</w:t>
            </w:r>
          </w:p>
        </w:tc>
        <w:tc>
          <w:tcPr>
            <w:tcW w:type="dxa" w:w="3010"/>
          </w:tcPr>
          <w:p>
            <w:pPr>
              <w:spacing w:before="40" w:after="40"/>
            </w:pPr>
            <w:r/>
            <w:r>
              <w:rPr>
                <w:sz w:val="19"/>
              </w:rPr>
              <w:t>966 µs</w:t>
            </w:r>
          </w:p>
        </w:tc>
      </w:tr>
      <w:tr>
        <w:tc>
          <w:tcPr>
            <w:tcW w:type="dxa" w:w="3010"/>
          </w:tcPr>
          <w:p>
            <w:pPr>
              <w:spacing w:before="40" w:after="40"/>
            </w:pPr>
            <w:r/>
            <w:r>
              <w:rPr>
                <w:rFonts w:ascii="Consolas" w:hAnsi="Consolas"/>
                <w:color w:val="24292E"/>
                <w:sz w:val="17"/>
              </w:rPr>
              <w:t>Destination Port</w:t>
            </w:r>
            <w:r>
              <w:rPr>
                <w:sz w:val="19"/>
              </w:rPr>
              <w:t xml:space="preserve"> (median)</w:t>
            </w:r>
          </w:p>
        </w:tc>
        <w:tc>
          <w:tcPr>
            <w:tcW w:type="dxa" w:w="3010"/>
          </w:tcPr>
          <w:p>
            <w:pPr>
              <w:spacing w:before="40" w:after="40"/>
            </w:pPr>
            <w:r/>
            <w:r>
              <w:rPr>
                <w:sz w:val="19"/>
              </w:rPr>
              <w:t>0 (zero-filled)</w:t>
            </w:r>
          </w:p>
        </w:tc>
        <w:tc>
          <w:tcPr>
            <w:tcW w:type="dxa" w:w="3010"/>
          </w:tcPr>
          <w:p>
            <w:pPr>
              <w:spacing w:before="40" w:after="40"/>
            </w:pPr>
            <w:r/>
            <w:r>
              <w:rPr>
                <w:sz w:val="19"/>
              </w:rPr>
              <w:t>53 (DNS)</w:t>
            </w:r>
          </w:p>
        </w:tc>
      </w:tr>
    </w:tbl>
    <w:p>
      <w:pPr>
        <w:spacing w:after="80"/>
      </w:pP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Table: Feature Contract Verification — Before vs After Remediation]</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Console output showing "Detected Python cicflowmeter output: renamed 42 columns, converted 13 time features seconds -&gt; microseconds"]</w:t>
      </w:r>
    </w:p>
    <w:p>
      <w:pPr>
        <w:pStyle w:val="Heading3"/>
        <w:spacing w:before="200" w:after="120"/>
      </w:pPr>
      <w:r>
        <w:rPr>
          <w:color w:val="1F3B73"/>
          <w:sz w:val="25"/>
        </w:rPr>
        <w:t>4.6.4 Level 4 — End-to-End Validation</w:t>
      </w:r>
    </w:p>
    <w:p>
      <w:pPr>
        <w:spacing w:after="160" w:line="276" w:lineRule="auto"/>
        <w:jc w:val="both"/>
      </w:pPr>
      <w:r>
        <w:rPr>
          <w:sz w:val="22"/>
        </w:rPr>
        <w:t>Two end-to-end tests confirm the complete chain.</w:t>
      </w:r>
    </w:p>
    <w:p>
      <w:pPr>
        <w:spacing w:after="160" w:line="276" w:lineRule="auto"/>
        <w:jc w:val="both"/>
      </w:pPr>
      <w:r>
        <w:rPr>
          <w:b/>
          <w:sz w:val="22"/>
        </w:rPr>
        <w:t>Synthetic packet capture test.</w:t>
      </w:r>
      <w:r>
        <w:rPr>
          <w:sz w:val="22"/>
        </w:rPr>
        <w:t xml:space="preserve"> A small TCP conversation (handshake, HTTP request and response, teardown) is generated programmatically and written to a real capture file, then processed through the entire chain. The test asserts not merely that a detection was produced — a zero-filled vector produces one of those too — but that the features </w:t>
      </w:r>
      <w:r>
        <w:rPr>
          <w:b/>
          <w:sz w:val="22"/>
        </w:rPr>
        <w:t>arrived populated</w:t>
      </w:r>
      <w:r>
        <w:rPr>
          <w:sz w:val="22"/>
        </w:rPr>
        <w:t xml:space="preserve">: 36 of 42 features non-zero, </w:t>
      </w:r>
      <w:r>
        <w:rPr>
          <w:rFonts w:ascii="Consolas" w:hAnsi="Consolas"/>
          <w:color w:val="24292E"/>
          <w:sz w:val="20"/>
        </w:rPr>
        <w:t>Flow Duration</w:t>
      </w:r>
      <w:r>
        <w:rPr>
          <w:sz w:val="22"/>
        </w:rPr>
        <w:t xml:space="preserve"> correctly reading 95,000 µs for a 0.095-second conversation, and rate features correctly left unscaled.</w:t>
      </w:r>
    </w:p>
    <w:p>
      <w:pPr>
        <w:spacing w:after="160" w:line="276" w:lineRule="auto"/>
        <w:jc w:val="both"/>
      </w:pPr>
      <w:r>
        <w:rPr>
          <w:b/>
          <w:sz w:val="22"/>
        </w:rPr>
        <w:t>Class-profile validation.</w:t>
      </w:r>
      <w:r>
        <w:rPr>
          <w:sz w:val="22"/>
        </w:rPr>
        <w:t xml:space="preserve"> A representative flow vector was computed for each of the seven classes by taking the </w:t>
      </w:r>
      <w:r>
        <w:rPr>
          <w:b/>
          <w:sz w:val="22"/>
        </w:rPr>
        <w:t>median</w:t>
      </w:r>
      <w:r>
        <w:rPr>
          <w:sz w:val="22"/>
        </w:rPr>
        <w:t xml:space="preserve"> of every feature over real labelled samples of that class. The median was chosen over the mean because these features are heavily skewed — a mean produces a vector no real flow resembles, whereas a median is an actual point within the class. Each profile was then passed through the complete pipeline.</w:t>
      </w:r>
    </w:p>
    <w:p>
      <w:pPr>
        <w:spacing w:after="160" w:line="276" w:lineRule="auto"/>
        <w:jc w:val="both"/>
      </w:pPr>
      <w:r>
        <w:rPr>
          <w:b/>
          <w:sz w:val="22"/>
        </w:rPr>
        <w:t>All seven profiles were classified as their own class</w:t>
      </w:r>
      <w:r>
        <w:rPr>
          <w:sz w:val="22"/>
        </w:rPr>
        <w:t>, confirming that the serving path reproduces training-time behaviour.</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Table: Class Profile Validation — Profile, Predicted Class, Confidence, Anomaly Flag, Final Status]</w:t>
      </w:r>
    </w:p>
    <w:p>
      <w:pPr>
        <w:spacing w:before="40" w:after="40"/>
        <w:pBdr>
          <w:bottom w:val="single" w:sz="6" w:space="1" w:color="BBBBBB"/>
        </w:pBdr>
      </w:pPr>
    </w:p>
    <w:p>
      <w:pPr>
        <w:pStyle w:val="Heading2"/>
        <w:spacing w:before="280" w:after="120"/>
      </w:pPr>
      <w:r>
        <w:rPr>
          <w:color w:val="1F3B73"/>
          <w:sz w:val="30"/>
        </w:rPr>
        <w:t>4.7 Results and Performance Analysis</w:t>
      </w:r>
    </w:p>
    <w:p>
      <w:pPr>
        <w:pStyle w:val="Heading3"/>
        <w:spacing w:before="200" w:after="120"/>
      </w:pPr>
      <w:r>
        <w:rPr>
          <w:color w:val="1F3B73"/>
          <w:sz w:val="25"/>
        </w:rPr>
        <w:t>4.7.1 Aggregate Performance</w:t>
      </w:r>
    </w:p>
    <w:p>
      <w:pPr>
        <w:spacing w:after="160" w:line="276" w:lineRule="auto"/>
        <w:jc w:val="both"/>
      </w:pPr>
      <w:r>
        <w:rPr>
          <w:sz w:val="22"/>
        </w:rPr>
        <w:t>All four models were evaluated on the same 100,088-sample held-out test set.</w:t>
      </w:r>
    </w:p>
    <w:tbl>
      <w:tblPr>
        <w:tblStyle w:val="TableGrid"/>
        <w:tblW w:type="auto" w:w="0"/>
        <w:jc w:val="center"/>
        <w:tblLayout w:type="autofit"/>
        <w:tblLook w:firstColumn="1" w:firstRow="1" w:lastColumn="0" w:lastRow="0" w:noHBand="0" w:noVBand="1" w:val="04A0"/>
      </w:tblPr>
      <w:tblGrid>
        <w:gridCol w:w="1129"/>
        <w:gridCol w:w="1129"/>
        <w:gridCol w:w="1129"/>
        <w:gridCol w:w="1129"/>
        <w:gridCol w:w="1129"/>
        <w:gridCol w:w="1129"/>
        <w:gridCol w:w="1129"/>
        <w:gridCol w:w="1129"/>
      </w:tblGrid>
      <w:tr>
        <w:trPr>
          <w:tblHeader w:val="true"/>
        </w:trPr>
        <w:tc>
          <w:tcPr>
            <w:tcW w:type="dxa" w:w="1129"/>
            <w:shd w:val="clear" w:color="auto" w:fill="1F3B73"/>
          </w:tcPr>
          <w:p>
            <w:pPr>
              <w:spacing w:before="40" w:after="40"/>
            </w:pPr>
            <w:r/>
            <w:r>
              <w:rPr>
                <w:b/>
                <w:color w:val="FFFFFF"/>
                <w:sz w:val="19"/>
              </w:rPr>
              <w:t>Model</w:t>
            </w:r>
          </w:p>
        </w:tc>
        <w:tc>
          <w:tcPr>
            <w:tcW w:type="dxa" w:w="1129"/>
            <w:shd w:val="clear" w:color="auto" w:fill="1F3B73"/>
          </w:tcPr>
          <w:p>
            <w:pPr>
              <w:spacing w:before="40" w:after="40"/>
            </w:pPr>
            <w:r/>
            <w:r>
              <w:rPr>
                <w:b/>
                <w:color w:val="FFFFFF"/>
                <w:sz w:val="19"/>
              </w:rPr>
              <w:t>Accuracy</w:t>
            </w:r>
          </w:p>
        </w:tc>
        <w:tc>
          <w:tcPr>
            <w:tcW w:type="dxa" w:w="1129"/>
            <w:shd w:val="clear" w:color="auto" w:fill="1F3B73"/>
          </w:tcPr>
          <w:p>
            <w:pPr>
              <w:spacing w:before="40" w:after="40"/>
            </w:pPr>
            <w:r/>
            <w:r>
              <w:rPr>
                <w:b/>
                <w:color w:val="FFFFFF"/>
                <w:sz w:val="19"/>
              </w:rPr>
              <w:t>Precision (wt.)</w:t>
            </w:r>
          </w:p>
        </w:tc>
        <w:tc>
          <w:tcPr>
            <w:tcW w:type="dxa" w:w="1129"/>
            <w:shd w:val="clear" w:color="auto" w:fill="1F3B73"/>
          </w:tcPr>
          <w:p>
            <w:pPr>
              <w:spacing w:before="40" w:after="40"/>
            </w:pPr>
            <w:r/>
            <w:r>
              <w:rPr>
                <w:b/>
                <w:color w:val="FFFFFF"/>
                <w:sz w:val="19"/>
              </w:rPr>
              <w:t>Recall (wt.)</w:t>
            </w:r>
          </w:p>
        </w:tc>
        <w:tc>
          <w:tcPr>
            <w:tcW w:type="dxa" w:w="1129"/>
            <w:shd w:val="clear" w:color="auto" w:fill="1F3B73"/>
          </w:tcPr>
          <w:p>
            <w:pPr>
              <w:spacing w:before="40" w:after="40"/>
            </w:pPr>
            <w:r/>
            <w:r>
              <w:rPr>
                <w:b/>
                <w:color w:val="FFFFFF"/>
                <w:sz w:val="19"/>
              </w:rPr>
              <w:t>F1 (wt.)</w:t>
            </w:r>
          </w:p>
        </w:tc>
        <w:tc>
          <w:tcPr>
            <w:tcW w:type="dxa" w:w="1129"/>
            <w:shd w:val="clear" w:color="auto" w:fill="1F3B73"/>
          </w:tcPr>
          <w:p>
            <w:pPr>
              <w:spacing w:before="40" w:after="40"/>
            </w:pPr>
            <w:r/>
            <w:r>
              <w:rPr>
                <w:b/>
                <w:color w:val="FFFFFF"/>
                <w:sz w:val="19"/>
              </w:rPr>
              <w:t>F1 (macro)</w:t>
            </w:r>
          </w:p>
        </w:tc>
        <w:tc>
          <w:tcPr>
            <w:tcW w:type="dxa" w:w="1129"/>
            <w:shd w:val="clear" w:color="auto" w:fill="1F3B73"/>
          </w:tcPr>
          <w:p>
            <w:pPr>
              <w:spacing w:before="40" w:after="40"/>
            </w:pPr>
            <w:r/>
            <w:r>
              <w:rPr>
                <w:b/>
                <w:color w:val="FFFFFF"/>
                <w:sz w:val="19"/>
              </w:rPr>
              <w:t>Recall (macro)</w:t>
            </w:r>
          </w:p>
        </w:tc>
        <w:tc>
          <w:tcPr>
            <w:tcW w:type="dxa" w:w="1129"/>
            <w:shd w:val="clear" w:color="auto" w:fill="1F3B73"/>
          </w:tcPr>
          <w:p>
            <w:pPr>
              <w:spacing w:before="40" w:after="40"/>
            </w:pPr>
            <w:r/>
            <w:r>
              <w:rPr>
                <w:b/>
                <w:color w:val="FFFFFF"/>
                <w:sz w:val="19"/>
              </w:rPr>
              <w:t>ROC-AUC</w:t>
            </w:r>
          </w:p>
        </w:tc>
      </w:tr>
      <w:tr>
        <w:tc>
          <w:tcPr>
            <w:tcW w:type="dxa" w:w="1129"/>
          </w:tcPr>
          <w:p>
            <w:pPr>
              <w:spacing w:before="40" w:after="40"/>
            </w:pPr>
            <w:r/>
            <w:r>
              <w:rPr>
                <w:sz w:val="19"/>
              </w:rPr>
              <w:t>Random Forest</w:t>
            </w:r>
          </w:p>
        </w:tc>
        <w:tc>
          <w:tcPr>
            <w:tcW w:type="dxa" w:w="1129"/>
          </w:tcPr>
          <w:p>
            <w:pPr>
              <w:spacing w:before="40" w:after="40"/>
            </w:pPr>
            <w:r/>
            <w:r>
              <w:rPr>
                <w:sz w:val="19"/>
              </w:rPr>
              <w:t>0.9942</w:t>
            </w:r>
          </w:p>
        </w:tc>
        <w:tc>
          <w:tcPr>
            <w:tcW w:type="dxa" w:w="1129"/>
          </w:tcPr>
          <w:p>
            <w:pPr>
              <w:spacing w:before="40" w:after="40"/>
            </w:pPr>
            <w:r/>
            <w:r>
              <w:rPr>
                <w:sz w:val="19"/>
              </w:rPr>
              <w:t>0.9944</w:t>
            </w:r>
          </w:p>
        </w:tc>
        <w:tc>
          <w:tcPr>
            <w:tcW w:type="dxa" w:w="1129"/>
          </w:tcPr>
          <w:p>
            <w:pPr>
              <w:spacing w:before="40" w:after="40"/>
            </w:pPr>
            <w:r/>
            <w:r>
              <w:rPr>
                <w:sz w:val="19"/>
              </w:rPr>
              <w:t>0.9942</w:t>
            </w:r>
          </w:p>
        </w:tc>
        <w:tc>
          <w:tcPr>
            <w:tcW w:type="dxa" w:w="1129"/>
          </w:tcPr>
          <w:p>
            <w:pPr>
              <w:spacing w:before="40" w:after="40"/>
            </w:pPr>
            <w:r/>
            <w:r>
              <w:rPr>
                <w:sz w:val="19"/>
              </w:rPr>
              <w:t>0.9924</w:t>
            </w:r>
          </w:p>
        </w:tc>
        <w:tc>
          <w:tcPr>
            <w:tcW w:type="dxa" w:w="1129"/>
          </w:tcPr>
          <w:p>
            <w:pPr>
              <w:spacing w:before="40" w:after="40"/>
            </w:pPr>
            <w:r/>
            <w:r>
              <w:rPr>
                <w:sz w:val="19"/>
              </w:rPr>
              <w:t>0.8414</w:t>
            </w:r>
          </w:p>
        </w:tc>
        <w:tc>
          <w:tcPr>
            <w:tcW w:type="dxa" w:w="1129"/>
          </w:tcPr>
          <w:p>
            <w:pPr>
              <w:spacing w:before="40" w:after="40"/>
            </w:pPr>
            <w:r/>
            <w:r>
              <w:rPr>
                <w:sz w:val="19"/>
              </w:rPr>
              <w:t>0.8129</w:t>
            </w:r>
          </w:p>
        </w:tc>
        <w:tc>
          <w:tcPr>
            <w:tcW w:type="dxa" w:w="1129"/>
          </w:tcPr>
          <w:p>
            <w:pPr>
              <w:spacing w:before="40" w:after="40"/>
            </w:pPr>
            <w:r/>
            <w:r>
              <w:rPr>
                <w:sz w:val="19"/>
              </w:rPr>
              <w:t>0.9975</w:t>
            </w:r>
          </w:p>
        </w:tc>
      </w:tr>
      <w:tr>
        <w:tc>
          <w:tcPr>
            <w:tcW w:type="dxa" w:w="1129"/>
          </w:tcPr>
          <w:p>
            <w:pPr>
              <w:spacing w:before="40" w:after="40"/>
            </w:pPr>
            <w:r/>
            <w:r>
              <w:rPr>
                <w:sz w:val="19"/>
              </w:rPr>
              <w:t>Gradient Boosting</w:t>
            </w:r>
          </w:p>
        </w:tc>
        <w:tc>
          <w:tcPr>
            <w:tcW w:type="dxa" w:w="1129"/>
          </w:tcPr>
          <w:p>
            <w:pPr>
              <w:spacing w:before="40" w:after="40"/>
            </w:pPr>
            <w:r/>
            <w:r>
              <w:rPr>
                <w:sz w:val="19"/>
              </w:rPr>
              <w:t>0.9943</w:t>
            </w:r>
          </w:p>
        </w:tc>
        <w:tc>
          <w:tcPr>
            <w:tcW w:type="dxa" w:w="1129"/>
          </w:tcPr>
          <w:p>
            <w:pPr>
              <w:spacing w:before="40" w:after="40"/>
            </w:pPr>
            <w:r/>
            <w:r>
              <w:rPr>
                <w:sz w:val="19"/>
              </w:rPr>
              <w:t>0.9944</w:t>
            </w:r>
          </w:p>
        </w:tc>
        <w:tc>
          <w:tcPr>
            <w:tcW w:type="dxa" w:w="1129"/>
          </w:tcPr>
          <w:p>
            <w:pPr>
              <w:spacing w:before="40" w:after="40"/>
            </w:pPr>
            <w:r/>
            <w:r>
              <w:rPr>
                <w:sz w:val="19"/>
              </w:rPr>
              <w:t>0.9943</w:t>
            </w:r>
          </w:p>
        </w:tc>
        <w:tc>
          <w:tcPr>
            <w:tcW w:type="dxa" w:w="1129"/>
          </w:tcPr>
          <w:p>
            <w:pPr>
              <w:spacing w:before="40" w:after="40"/>
            </w:pPr>
            <w:r/>
            <w:r>
              <w:rPr>
                <w:sz w:val="19"/>
              </w:rPr>
              <w:t>0.9925</w:t>
            </w:r>
          </w:p>
        </w:tc>
        <w:tc>
          <w:tcPr>
            <w:tcW w:type="dxa" w:w="1129"/>
          </w:tcPr>
          <w:p>
            <w:pPr>
              <w:spacing w:before="40" w:after="40"/>
            </w:pPr>
            <w:r/>
            <w:r>
              <w:rPr>
                <w:sz w:val="19"/>
              </w:rPr>
              <w:t>0.8443</w:t>
            </w:r>
          </w:p>
        </w:tc>
        <w:tc>
          <w:tcPr>
            <w:tcW w:type="dxa" w:w="1129"/>
          </w:tcPr>
          <w:p>
            <w:pPr>
              <w:spacing w:before="40" w:after="40"/>
            </w:pPr>
            <w:r/>
            <w:r>
              <w:rPr>
                <w:sz w:val="19"/>
              </w:rPr>
              <w:t>0.8157</w:t>
            </w:r>
          </w:p>
        </w:tc>
        <w:tc>
          <w:tcPr>
            <w:tcW w:type="dxa" w:w="1129"/>
          </w:tcPr>
          <w:p>
            <w:pPr>
              <w:spacing w:before="40" w:after="40"/>
            </w:pPr>
            <w:r/>
            <w:r>
              <w:rPr>
                <w:sz w:val="19"/>
              </w:rPr>
              <w:t>1.000</w:t>
            </w:r>
          </w:p>
        </w:tc>
      </w:tr>
      <w:tr>
        <w:tc>
          <w:tcPr>
            <w:tcW w:type="dxa" w:w="1129"/>
          </w:tcPr>
          <w:p>
            <w:pPr>
              <w:spacing w:before="40" w:after="40"/>
            </w:pPr>
            <w:r/>
            <w:r>
              <w:rPr>
                <w:b/>
                <w:sz w:val="19"/>
              </w:rPr>
              <w:t>Deep Neural Network</w:t>
            </w:r>
          </w:p>
        </w:tc>
        <w:tc>
          <w:tcPr>
            <w:tcW w:type="dxa" w:w="1129"/>
          </w:tcPr>
          <w:p>
            <w:pPr>
              <w:spacing w:before="40" w:after="40"/>
            </w:pPr>
            <w:r/>
            <w:r>
              <w:rPr>
                <w:b/>
                <w:sz w:val="19"/>
              </w:rPr>
              <w:t>0.9971</w:t>
            </w:r>
          </w:p>
        </w:tc>
        <w:tc>
          <w:tcPr>
            <w:tcW w:type="dxa" w:w="1129"/>
          </w:tcPr>
          <w:p>
            <w:pPr>
              <w:spacing w:before="40" w:after="40"/>
            </w:pPr>
            <w:r/>
            <w:r>
              <w:rPr>
                <w:b/>
                <w:sz w:val="19"/>
              </w:rPr>
              <w:t>0.9971</w:t>
            </w:r>
          </w:p>
        </w:tc>
        <w:tc>
          <w:tcPr>
            <w:tcW w:type="dxa" w:w="1129"/>
          </w:tcPr>
          <w:p>
            <w:pPr>
              <w:spacing w:before="40" w:after="40"/>
            </w:pPr>
            <w:r/>
            <w:r>
              <w:rPr>
                <w:b/>
                <w:sz w:val="19"/>
              </w:rPr>
              <w:t>0.9971</w:t>
            </w:r>
          </w:p>
        </w:tc>
        <w:tc>
          <w:tcPr>
            <w:tcW w:type="dxa" w:w="1129"/>
          </w:tcPr>
          <w:p>
            <w:pPr>
              <w:spacing w:before="40" w:after="40"/>
            </w:pPr>
            <w:r/>
            <w:r>
              <w:rPr>
                <w:b/>
                <w:sz w:val="19"/>
              </w:rPr>
              <w:t>0.9970</w:t>
            </w:r>
          </w:p>
        </w:tc>
        <w:tc>
          <w:tcPr>
            <w:tcW w:type="dxa" w:w="1129"/>
          </w:tcPr>
          <w:p>
            <w:pPr>
              <w:spacing w:before="40" w:after="40"/>
            </w:pPr>
            <w:r/>
            <w:r>
              <w:rPr>
                <w:b/>
                <w:sz w:val="19"/>
              </w:rPr>
              <w:t>0.9657</w:t>
            </w:r>
          </w:p>
        </w:tc>
        <w:tc>
          <w:tcPr>
            <w:tcW w:type="dxa" w:w="1129"/>
          </w:tcPr>
          <w:p>
            <w:pPr>
              <w:spacing w:before="40" w:after="40"/>
            </w:pPr>
            <w:r/>
            <w:r>
              <w:rPr>
                <w:b/>
                <w:sz w:val="19"/>
              </w:rPr>
              <w:t>0.9543</w:t>
            </w:r>
          </w:p>
        </w:tc>
        <w:tc>
          <w:tcPr>
            <w:tcW w:type="dxa" w:w="1129"/>
          </w:tcPr>
          <w:p>
            <w:pPr>
              <w:spacing w:before="40" w:after="40"/>
            </w:pPr>
            <w:r/>
            <w:r>
              <w:rPr>
                <w:sz w:val="19"/>
              </w:rPr>
              <w:t>1.000</w:t>
            </w:r>
          </w:p>
        </w:tc>
      </w:tr>
      <w:tr>
        <w:tc>
          <w:tcPr>
            <w:tcW w:type="dxa" w:w="1129"/>
          </w:tcPr>
          <w:p>
            <w:pPr>
              <w:spacing w:before="40" w:after="40"/>
            </w:pPr>
            <w:r/>
            <w:r>
              <w:rPr>
                <w:sz w:val="19"/>
              </w:rPr>
              <w:t>Voting Ensemble</w:t>
            </w:r>
          </w:p>
        </w:tc>
        <w:tc>
          <w:tcPr>
            <w:tcW w:type="dxa" w:w="1129"/>
          </w:tcPr>
          <w:p>
            <w:pPr>
              <w:spacing w:before="40" w:after="40"/>
            </w:pPr>
            <w:r/>
            <w:r>
              <w:rPr>
                <w:sz w:val="19"/>
              </w:rPr>
              <w:t>0.9943</w:t>
            </w:r>
          </w:p>
        </w:tc>
        <w:tc>
          <w:tcPr>
            <w:tcW w:type="dxa" w:w="1129"/>
          </w:tcPr>
          <w:p>
            <w:pPr>
              <w:spacing w:before="40" w:after="40"/>
            </w:pPr>
            <w:r/>
            <w:r>
              <w:rPr>
                <w:sz w:val="19"/>
              </w:rPr>
              <w:t>0.9943</w:t>
            </w:r>
          </w:p>
        </w:tc>
        <w:tc>
          <w:tcPr>
            <w:tcW w:type="dxa" w:w="1129"/>
          </w:tcPr>
          <w:p>
            <w:pPr>
              <w:spacing w:before="40" w:after="40"/>
            </w:pPr>
            <w:r/>
            <w:r>
              <w:rPr>
                <w:sz w:val="19"/>
              </w:rPr>
              <w:t>0.9943</w:t>
            </w:r>
          </w:p>
        </w:tc>
        <w:tc>
          <w:tcPr>
            <w:tcW w:type="dxa" w:w="1129"/>
          </w:tcPr>
          <w:p>
            <w:pPr>
              <w:spacing w:before="40" w:after="40"/>
            </w:pPr>
            <w:r/>
            <w:r>
              <w:rPr>
                <w:sz w:val="19"/>
              </w:rPr>
              <w:t>0.9926</w:t>
            </w:r>
          </w:p>
        </w:tc>
        <w:tc>
          <w:tcPr>
            <w:tcW w:type="dxa" w:w="1129"/>
          </w:tcPr>
          <w:p>
            <w:pPr>
              <w:spacing w:before="40" w:after="40"/>
            </w:pPr>
            <w:r/>
            <w:r>
              <w:rPr>
                <w:sz w:val="19"/>
              </w:rPr>
              <w:t>0.8471</w:t>
            </w:r>
          </w:p>
        </w:tc>
        <w:tc>
          <w:tcPr>
            <w:tcW w:type="dxa" w:w="1129"/>
          </w:tcPr>
          <w:p>
            <w:pPr>
              <w:spacing w:before="40" w:after="40"/>
            </w:pPr>
            <w:r/>
            <w:r>
              <w:rPr>
                <w:sz w:val="19"/>
              </w:rPr>
              <w:t>0.8157</w:t>
            </w:r>
          </w:p>
        </w:tc>
        <w:tc>
          <w:tcPr>
            <w:tcW w:type="dxa" w:w="1129"/>
          </w:tcPr>
          <w:p>
            <w:pPr>
              <w:spacing w:before="40" w:after="40"/>
            </w:pPr>
            <w:r/>
            <w:r>
              <w:rPr>
                <w:sz w:val="19"/>
              </w:rPr>
              <w:t>1.000</w:t>
            </w:r>
          </w:p>
        </w:tc>
      </w:tr>
    </w:tbl>
    <w:p>
      <w:pPr>
        <w:spacing w:after="80"/>
      </w:pP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Table: Model Metrics Comparison Table]</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Model Comparison Chart (Accuracy, Precision, Recall, F1-Score)]</w:t>
      </w:r>
    </w:p>
    <w:p>
      <w:pPr>
        <w:spacing w:after="160" w:line="276" w:lineRule="auto"/>
        <w:jc w:val="both"/>
      </w:pPr>
      <w:r>
        <w:rPr>
          <w:i/>
          <w:sz w:val="22"/>
        </w:rPr>
        <w:t>(Available at `figures/model_comparison.png`.)</w:t>
      </w:r>
    </w:p>
    <w:p>
      <w:pPr>
        <w:spacing w:after="160" w:line="276" w:lineRule="auto"/>
        <w:jc w:val="both"/>
      </w:pPr>
      <w:r>
        <w:rPr>
          <w:sz w:val="22"/>
        </w:rPr>
        <w:t xml:space="preserve">Read by accuracy alone, all four models appear equivalent — separated by less than 0.3 percentage points, all above 99%. </w:t>
      </w:r>
      <w:r>
        <w:rPr>
          <w:b/>
          <w:sz w:val="22"/>
        </w:rPr>
        <w:t>This reading is misleading</w:t>
      </w:r>
      <w:r>
        <w:rPr>
          <w:sz w:val="22"/>
        </w:rPr>
        <w:t>, and the reason is visible only in the macro columns, where the four models separate by more than twelve points.</w:t>
      </w:r>
    </w:p>
    <w:p>
      <w:pPr>
        <w:pStyle w:val="Heading3"/>
        <w:spacing w:before="200" w:after="120"/>
      </w:pPr>
      <w:r>
        <w:rPr>
          <w:color w:val="1F3B73"/>
          <w:sz w:val="25"/>
        </w:rPr>
        <w:t>4.7.2 Per-Class Analysis</w:t>
      </w:r>
    </w:p>
    <w:p>
      <w:pPr>
        <w:spacing w:after="160" w:line="276" w:lineRule="auto"/>
        <w:jc w:val="both"/>
      </w:pPr>
      <w:r>
        <w:rPr>
          <w:sz w:val="22"/>
        </w:rPr>
        <w:t xml:space="preserve">The following table gives per-class </w:t>
      </w:r>
      <w:r>
        <w:rPr>
          <w:b/>
          <w:sz w:val="22"/>
        </w:rPr>
        <w:t>recall</w:t>
      </w:r>
      <w:r>
        <w:rPr>
          <w:sz w:val="22"/>
        </w:rPr>
        <w:t xml:space="preserve"> — the proportion of each attack type that the model successfully catches. This is the most operationally meaningful metric for an intrusion detection system, because a missed attack is far more costly than a false alarm.</w:t>
      </w:r>
    </w:p>
    <w:tbl>
      <w:tblPr>
        <w:tblStyle w:val="TableGrid"/>
        <w:tblW w:type="auto" w:w="0"/>
        <w:jc w:val="center"/>
        <w:tblLayout w:type="autofit"/>
        <w:tblLook w:firstColumn="1" w:firstRow="1" w:lastColumn="0" w:lastRow="0" w:noHBand="0" w:noVBand="1" w:val="04A0"/>
      </w:tblPr>
      <w:tblGrid>
        <w:gridCol w:w="1505"/>
        <w:gridCol w:w="1505"/>
        <w:gridCol w:w="1505"/>
        <w:gridCol w:w="1505"/>
        <w:gridCol w:w="1505"/>
        <w:gridCol w:w="1505"/>
      </w:tblGrid>
      <w:tr>
        <w:trPr>
          <w:tblHeader w:val="true"/>
        </w:trPr>
        <w:tc>
          <w:tcPr>
            <w:tcW w:type="dxa" w:w="1505"/>
            <w:shd w:val="clear" w:color="auto" w:fill="1F3B73"/>
          </w:tcPr>
          <w:p>
            <w:pPr>
              <w:spacing w:before="40" w:after="40"/>
            </w:pPr>
            <w:r/>
            <w:r>
              <w:rPr>
                <w:b/>
                <w:color w:val="FFFFFF"/>
                <w:sz w:val="19"/>
              </w:rPr>
              <w:t>Class</w:t>
            </w:r>
          </w:p>
        </w:tc>
        <w:tc>
          <w:tcPr>
            <w:tcW w:type="dxa" w:w="1505"/>
            <w:shd w:val="clear" w:color="auto" w:fill="1F3B73"/>
          </w:tcPr>
          <w:p>
            <w:pPr>
              <w:spacing w:before="40" w:after="40"/>
            </w:pPr>
            <w:r/>
            <w:r>
              <w:rPr>
                <w:b/>
                <w:color w:val="FFFFFF"/>
                <w:sz w:val="19"/>
              </w:rPr>
              <w:t>Test samples</w:t>
            </w:r>
          </w:p>
        </w:tc>
        <w:tc>
          <w:tcPr>
            <w:tcW w:type="dxa" w:w="1505"/>
            <w:shd w:val="clear" w:color="auto" w:fill="1F3B73"/>
          </w:tcPr>
          <w:p>
            <w:pPr>
              <w:spacing w:before="40" w:after="40"/>
            </w:pPr>
            <w:r/>
            <w:r>
              <w:rPr>
                <w:b/>
                <w:color w:val="FFFFFF"/>
                <w:sz w:val="19"/>
              </w:rPr>
              <w:t>DNN</w:t>
            </w:r>
          </w:p>
        </w:tc>
        <w:tc>
          <w:tcPr>
            <w:tcW w:type="dxa" w:w="1505"/>
            <w:shd w:val="clear" w:color="auto" w:fill="1F3B73"/>
          </w:tcPr>
          <w:p>
            <w:pPr>
              <w:spacing w:before="40" w:after="40"/>
            </w:pPr>
            <w:r/>
            <w:r>
              <w:rPr>
                <w:b/>
                <w:color w:val="FFFFFF"/>
                <w:sz w:val="19"/>
              </w:rPr>
              <w:t>Random Forest</w:t>
            </w:r>
          </w:p>
        </w:tc>
        <w:tc>
          <w:tcPr>
            <w:tcW w:type="dxa" w:w="1505"/>
            <w:shd w:val="clear" w:color="auto" w:fill="1F3B73"/>
          </w:tcPr>
          <w:p>
            <w:pPr>
              <w:spacing w:before="40" w:after="40"/>
            </w:pPr>
            <w:r/>
            <w:r>
              <w:rPr>
                <w:b/>
                <w:color w:val="FFFFFF"/>
                <w:sz w:val="19"/>
              </w:rPr>
              <w:t>Gradient Boosting</w:t>
            </w:r>
          </w:p>
        </w:tc>
        <w:tc>
          <w:tcPr>
            <w:tcW w:type="dxa" w:w="1505"/>
            <w:shd w:val="clear" w:color="auto" w:fill="1F3B73"/>
          </w:tcPr>
          <w:p>
            <w:pPr>
              <w:spacing w:before="40" w:after="40"/>
            </w:pPr>
            <w:r/>
            <w:r>
              <w:rPr>
                <w:b/>
                <w:color w:val="FFFFFF"/>
                <w:sz w:val="19"/>
              </w:rPr>
              <w:t>Voting Ensemble</w:t>
            </w:r>
          </w:p>
        </w:tc>
      </w:tr>
      <w:tr>
        <w:tc>
          <w:tcPr>
            <w:tcW w:type="dxa" w:w="1505"/>
          </w:tcPr>
          <w:p>
            <w:pPr>
              <w:spacing w:before="40" w:after="40"/>
            </w:pPr>
            <w:r/>
            <w:r>
              <w:rPr>
                <w:sz w:val="19"/>
              </w:rPr>
              <w:t>BENIGN</w:t>
            </w:r>
          </w:p>
        </w:tc>
        <w:tc>
          <w:tcPr>
            <w:tcW w:type="dxa" w:w="1505"/>
          </w:tcPr>
          <w:p>
            <w:pPr>
              <w:spacing w:before="40" w:after="40"/>
            </w:pPr>
            <w:r/>
            <w:r>
              <w:rPr>
                <w:sz w:val="19"/>
              </w:rPr>
              <w:t>24,000</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r>
      <w:tr>
        <w:tc>
          <w:tcPr>
            <w:tcW w:type="dxa" w:w="1505"/>
          </w:tcPr>
          <w:p>
            <w:pPr>
              <w:spacing w:before="40" w:after="40"/>
            </w:pPr>
            <w:r/>
            <w:r>
              <w:rPr>
                <w:sz w:val="19"/>
              </w:rPr>
              <w:t>DDOS</w:t>
            </w:r>
          </w:p>
        </w:tc>
        <w:tc>
          <w:tcPr>
            <w:tcW w:type="dxa" w:w="1505"/>
          </w:tcPr>
          <w:p>
            <w:pPr>
              <w:spacing w:before="40" w:after="40"/>
            </w:pPr>
            <w:r/>
            <w:r>
              <w:rPr>
                <w:sz w:val="19"/>
              </w:rPr>
              <w:t>22,854</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r>
      <w:tr>
        <w:tc>
          <w:tcPr>
            <w:tcW w:type="dxa" w:w="1505"/>
          </w:tcPr>
          <w:p>
            <w:pPr>
              <w:spacing w:before="40" w:after="40"/>
            </w:pPr>
            <w:r/>
            <w:r>
              <w:rPr>
                <w:sz w:val="19"/>
              </w:rPr>
              <w:t>DOS</w:t>
            </w:r>
          </w:p>
        </w:tc>
        <w:tc>
          <w:tcPr>
            <w:tcW w:type="dxa" w:w="1505"/>
          </w:tcPr>
          <w:p>
            <w:pPr>
              <w:spacing w:before="40" w:after="40"/>
            </w:pPr>
            <w:r/>
            <w:r>
              <w:rPr>
                <w:sz w:val="19"/>
              </w:rPr>
              <w:t>34,590</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r>
      <w:tr>
        <w:tc>
          <w:tcPr>
            <w:tcW w:type="dxa" w:w="1505"/>
          </w:tcPr>
          <w:p>
            <w:pPr>
              <w:spacing w:before="40" w:after="40"/>
            </w:pPr>
            <w:r/>
            <w:r>
              <w:rPr>
                <w:sz w:val="19"/>
              </w:rPr>
              <w:t>PORTSCAN</w:t>
            </w:r>
          </w:p>
        </w:tc>
        <w:tc>
          <w:tcPr>
            <w:tcW w:type="dxa" w:w="1505"/>
          </w:tcPr>
          <w:p>
            <w:pPr>
              <w:spacing w:before="40" w:after="40"/>
            </w:pPr>
            <w:r/>
            <w:r>
              <w:rPr>
                <w:sz w:val="19"/>
              </w:rPr>
              <w:t>16,192</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r>
      <w:tr>
        <w:tc>
          <w:tcPr>
            <w:tcW w:type="dxa" w:w="1505"/>
          </w:tcPr>
          <w:p>
            <w:pPr>
              <w:spacing w:before="40" w:after="40"/>
            </w:pPr>
            <w:r/>
            <w:r>
              <w:rPr>
                <w:sz w:val="19"/>
              </w:rPr>
              <w:t>BRUTEFORCE</w:t>
            </w:r>
          </w:p>
        </w:tc>
        <w:tc>
          <w:tcPr>
            <w:tcW w:type="dxa" w:w="1505"/>
          </w:tcPr>
          <w:p>
            <w:pPr>
              <w:spacing w:before="40" w:after="40"/>
            </w:pPr>
            <w:r/>
            <w:r>
              <w:rPr>
                <w:sz w:val="19"/>
              </w:rPr>
              <w:t>1,633</w:t>
            </w:r>
          </w:p>
        </w:tc>
        <w:tc>
          <w:tcPr>
            <w:tcW w:type="dxa" w:w="1505"/>
          </w:tcPr>
          <w:p>
            <w:pPr>
              <w:spacing w:before="40" w:after="40"/>
            </w:pPr>
            <w:r/>
            <w:r>
              <w:rPr>
                <w:sz w:val="19"/>
              </w:rPr>
              <w:t>0.99</w:t>
            </w:r>
          </w:p>
        </w:tc>
        <w:tc>
          <w:tcPr>
            <w:tcW w:type="dxa" w:w="1505"/>
          </w:tcPr>
          <w:p>
            <w:pPr>
              <w:spacing w:before="40" w:after="40"/>
            </w:pPr>
            <w:r/>
            <w:r>
              <w:rPr>
                <w:sz w:val="19"/>
              </w:rPr>
              <w:t>1.00</w:t>
            </w:r>
          </w:p>
        </w:tc>
        <w:tc>
          <w:tcPr>
            <w:tcW w:type="dxa" w:w="1505"/>
          </w:tcPr>
          <w:p>
            <w:pPr>
              <w:spacing w:before="40" w:after="40"/>
            </w:pPr>
            <w:r/>
            <w:r>
              <w:rPr>
                <w:sz w:val="19"/>
              </w:rPr>
              <w:t>1.00</w:t>
            </w:r>
          </w:p>
        </w:tc>
        <w:tc>
          <w:tcPr>
            <w:tcW w:type="dxa" w:w="1505"/>
          </w:tcPr>
          <w:p>
            <w:pPr>
              <w:spacing w:before="40" w:after="40"/>
            </w:pPr>
            <w:r/>
            <w:r>
              <w:rPr>
                <w:sz w:val="19"/>
              </w:rPr>
              <w:t>1.00</w:t>
            </w:r>
          </w:p>
        </w:tc>
      </w:tr>
      <w:tr>
        <w:tc>
          <w:tcPr>
            <w:tcW w:type="dxa" w:w="1505"/>
          </w:tcPr>
          <w:p>
            <w:pPr>
              <w:spacing w:before="40" w:after="40"/>
            </w:pPr>
            <w:r/>
            <w:r>
              <w:rPr>
                <w:b/>
                <w:sz w:val="19"/>
              </w:rPr>
              <w:t>BOTNET</w:t>
            </w:r>
          </w:p>
        </w:tc>
        <w:tc>
          <w:tcPr>
            <w:tcW w:type="dxa" w:w="1505"/>
          </w:tcPr>
          <w:p>
            <w:pPr>
              <w:spacing w:before="40" w:after="40"/>
            </w:pPr>
            <w:r/>
            <w:r>
              <w:rPr>
                <w:sz w:val="19"/>
              </w:rPr>
              <w:t>390</w:t>
            </w:r>
          </w:p>
        </w:tc>
        <w:tc>
          <w:tcPr>
            <w:tcW w:type="dxa" w:w="1505"/>
          </w:tcPr>
          <w:p>
            <w:pPr>
              <w:spacing w:before="40" w:after="40"/>
            </w:pPr>
            <w:r/>
            <w:r>
              <w:rPr>
                <w:b/>
                <w:sz w:val="19"/>
              </w:rPr>
              <w:t>0.74</w:t>
            </w:r>
          </w:p>
        </w:tc>
        <w:tc>
          <w:tcPr>
            <w:tcW w:type="dxa" w:w="1505"/>
          </w:tcPr>
          <w:p>
            <w:pPr>
              <w:spacing w:before="40" w:after="40"/>
            </w:pPr>
            <w:r/>
            <w:r>
              <w:rPr>
                <w:sz w:val="19"/>
              </w:rPr>
              <w:t>0.61</w:t>
            </w:r>
          </w:p>
        </w:tc>
        <w:tc>
          <w:tcPr>
            <w:tcW w:type="dxa" w:w="1505"/>
          </w:tcPr>
          <w:p>
            <w:pPr>
              <w:spacing w:before="40" w:after="40"/>
            </w:pPr>
            <w:r/>
            <w:r>
              <w:rPr>
                <w:sz w:val="19"/>
              </w:rPr>
              <w:t>0.61</w:t>
            </w:r>
          </w:p>
        </w:tc>
        <w:tc>
          <w:tcPr>
            <w:tcW w:type="dxa" w:w="1505"/>
          </w:tcPr>
          <w:p>
            <w:pPr>
              <w:spacing w:before="40" w:after="40"/>
            </w:pPr>
            <w:r/>
            <w:r>
              <w:rPr>
                <w:sz w:val="19"/>
              </w:rPr>
              <w:t>0.61</w:t>
            </w:r>
          </w:p>
        </w:tc>
      </w:tr>
      <w:tr>
        <w:tc>
          <w:tcPr>
            <w:tcW w:type="dxa" w:w="1505"/>
          </w:tcPr>
          <w:p>
            <w:pPr>
              <w:spacing w:before="40" w:after="40"/>
            </w:pPr>
            <w:r/>
            <w:r>
              <w:rPr>
                <w:b/>
                <w:sz w:val="19"/>
              </w:rPr>
              <w:t>WEBATTACK</w:t>
            </w:r>
          </w:p>
        </w:tc>
        <w:tc>
          <w:tcPr>
            <w:tcW w:type="dxa" w:w="1505"/>
          </w:tcPr>
          <w:p>
            <w:pPr>
              <w:spacing w:before="40" w:after="40"/>
            </w:pPr>
            <w:r/>
            <w:r>
              <w:rPr>
                <w:sz w:val="19"/>
              </w:rPr>
              <w:t>429</w:t>
            </w:r>
          </w:p>
        </w:tc>
        <w:tc>
          <w:tcPr>
            <w:tcW w:type="dxa" w:w="1505"/>
          </w:tcPr>
          <w:p>
            <w:pPr>
              <w:spacing w:before="40" w:after="40"/>
            </w:pPr>
            <w:r/>
            <w:r>
              <w:rPr>
                <w:b/>
                <w:sz w:val="19"/>
              </w:rPr>
              <w:t>0.95</w:t>
            </w:r>
          </w:p>
        </w:tc>
        <w:tc>
          <w:tcPr>
            <w:tcW w:type="dxa" w:w="1505"/>
          </w:tcPr>
          <w:p>
            <w:pPr>
              <w:spacing w:before="40" w:after="40"/>
            </w:pPr>
            <w:r/>
            <w:r>
              <w:rPr>
                <w:b/>
                <w:sz w:val="19"/>
              </w:rPr>
              <w:t>0.08</w:t>
            </w:r>
          </w:p>
        </w:tc>
        <w:tc>
          <w:tcPr>
            <w:tcW w:type="dxa" w:w="1505"/>
          </w:tcPr>
          <w:p>
            <w:pPr>
              <w:spacing w:before="40" w:after="40"/>
            </w:pPr>
            <w:r/>
            <w:r>
              <w:rPr>
                <w:b/>
                <w:sz w:val="19"/>
              </w:rPr>
              <w:t>0.10</w:t>
            </w:r>
          </w:p>
        </w:tc>
        <w:tc>
          <w:tcPr>
            <w:tcW w:type="dxa" w:w="1505"/>
          </w:tcPr>
          <w:p>
            <w:pPr>
              <w:spacing w:before="40" w:after="40"/>
            </w:pPr>
            <w:r/>
            <w:r>
              <w:rPr>
                <w:b/>
                <w:sz w:val="19"/>
              </w:rPr>
              <w:t>0.10</w:t>
            </w:r>
          </w:p>
        </w:tc>
      </w:tr>
    </w:tbl>
    <w:p>
      <w:pPr>
        <w:spacing w:after="80"/>
      </w:pPr>
    </w:p>
    <w:p>
      <w:pPr>
        <w:spacing w:after="160" w:line="276" w:lineRule="auto"/>
        <w:jc w:val="both"/>
      </w:pPr>
      <w:r>
        <w:rPr>
          <w:sz w:val="22"/>
        </w:rPr>
        <w:t>This table is the central experimental result of the project.</w:t>
      </w:r>
    </w:p>
    <w:p>
      <w:pPr>
        <w:spacing w:after="160" w:line="276" w:lineRule="auto"/>
        <w:jc w:val="both"/>
      </w:pPr>
      <w:r>
        <w:rPr>
          <w:sz w:val="22"/>
        </w:rPr>
        <w:t xml:space="preserve">The three tree-based and ensemble models achieve </w:t>
      </w:r>
      <w:r>
        <w:rPr>
          <w:b/>
          <w:sz w:val="22"/>
        </w:rPr>
        <w:t>0.08–0.10 recall on WEBATTACK</w:t>
      </w:r>
      <w:r>
        <w:rPr>
          <w:sz w:val="22"/>
        </w:rPr>
        <w:t xml:space="preserve">, meaning they detect roughly </w:t>
      </w:r>
      <w:r>
        <w:rPr>
          <w:b/>
          <w:sz w:val="22"/>
        </w:rPr>
        <w:t>one web attack in ten</w:t>
      </w:r>
      <w:r>
        <w:rPr>
          <w:sz w:val="22"/>
        </w:rPr>
        <w:t xml:space="preserve"> and miss the other nine. They nonetheless report over 99% accuracy, because the 429 web-attack samples represent 0.43% of the test set — small enough that missing almost all of them barely moves the aggregate.</w:t>
      </w:r>
    </w:p>
    <w:p>
      <w:pPr>
        <w:spacing w:after="160" w:line="276" w:lineRule="auto"/>
        <w:jc w:val="both"/>
      </w:pPr>
      <w:r>
        <w:rPr>
          <w:sz w:val="22"/>
        </w:rPr>
        <w:t xml:space="preserve">The Deep Neural Network reaches </w:t>
      </w:r>
      <w:r>
        <w:rPr>
          <w:b/>
          <w:sz w:val="22"/>
        </w:rPr>
        <w:t>0.95 recall on WEBATTACK</w:t>
      </w:r>
      <w:r>
        <w:rPr>
          <w:sz w:val="22"/>
        </w:rPr>
        <w:t xml:space="preserve"> with 0.92 precision, and the highest BOTNET recall at 0.74. Its macro F1 of </w:t>
      </w:r>
      <w:r>
        <w:rPr>
          <w:b/>
          <w:sz w:val="22"/>
        </w:rPr>
        <w:t>0.9657</w:t>
      </w:r>
      <w:r>
        <w:rPr>
          <w:sz w:val="22"/>
        </w:rPr>
        <w:t xml:space="preserve"> exceeds the next best model by 0.119.</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Confusion Matrix for DNN] *(figures/cm_DNN.png)*</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Confusion Matrix for Random Forest] *(figures/cm_RandomForest.png)*</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Confusion Matrix for Gradient Boosting] *(figures/cm_GradientBoosting.png)*</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Confusion Matrix for Voting Ensemble] *(figures/cm_VotingEnsemble.png)*</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Figure: Per-Class Recall Comparison — grouped bar chart across the four models]</w:t>
      </w:r>
    </w:p>
    <w:p>
      <w:pPr>
        <w:pStyle w:val="Heading3"/>
        <w:spacing w:before="200" w:after="120"/>
      </w:pPr>
      <w:r>
        <w:rPr>
          <w:color w:val="1F3B73"/>
          <w:sz w:val="25"/>
        </w:rPr>
        <w:t>4.7.3 Interpretation</w:t>
      </w:r>
    </w:p>
    <w:p>
      <w:pPr>
        <w:spacing w:after="160" w:line="276" w:lineRule="auto"/>
        <w:jc w:val="both"/>
      </w:pPr>
      <w:r>
        <w:rPr>
          <w:sz w:val="22"/>
        </w:rPr>
        <w:t>Three conclusions follow.</w:t>
      </w:r>
    </w:p>
    <w:p>
      <w:pPr>
        <w:spacing w:after="160" w:line="276" w:lineRule="auto"/>
        <w:jc w:val="both"/>
      </w:pPr>
      <w:r>
        <w:rPr>
          <w:b/>
          <w:sz w:val="22"/>
        </w:rPr>
        <w:t>Aggregate metrics are unsafe for imbalanced security data.</w:t>
      </w:r>
      <w:r>
        <w:rPr>
          <w:sz w:val="22"/>
        </w:rPr>
        <w:t xml:space="preserve"> A model detecting one web attack in ten and a model detecting nineteen in twenty are separated by 0.3 percentage points of accuracy. Any evaluation, comparison or model-selection procedure based on accuracy or weighted F1 cannot distinguish them. Macro-averaged metrics, which weight every class equally, separate them clearly.</w:t>
      </w:r>
    </w:p>
    <w:p>
      <w:pPr>
        <w:spacing w:after="160" w:line="276" w:lineRule="auto"/>
        <w:jc w:val="both"/>
      </w:pPr>
      <w:r>
        <w:rPr>
          <w:b/>
          <w:sz w:val="22"/>
        </w:rPr>
        <w:t>The ensemble did not outperform its best member.</w:t>
      </w:r>
      <w:r>
        <w:rPr>
          <w:sz w:val="22"/>
        </w:rPr>
        <w:t xml:space="preserve"> Soft voting averages predicted probabilities across constituent models. Because two of the three constituents are near-blind to WEBATTACK, their confident BENIGN predictions outvote the DNN's correct one. The ensemble inherits the majority's weakness rather than the best member's strength — a useful reminder that ensembling is not automatically beneficial when members have correlated blind spots.</w:t>
      </w:r>
    </w:p>
    <w:p>
      <w:pPr>
        <w:spacing w:after="160" w:line="276" w:lineRule="auto"/>
        <w:jc w:val="both"/>
      </w:pPr>
      <w:r>
        <w:rPr>
          <w:b/>
          <w:sz w:val="22"/>
        </w:rPr>
        <w:t>Neural networks handled the imbalance better than tree ensembles here.</w:t>
      </w:r>
      <w:r>
        <w:rPr>
          <w:sz w:val="22"/>
        </w:rPr>
        <w:t xml:space="preserve"> The plausible mechanism is that gradient descent with class weighting applies a continuous penalty for minority-class errors throughout training, whereas tree splitting criteria are dominated by the majority classes when a minority represents under 0.5% of samples. This observation is specific to this dataset and configuration and is offered as an interpretation, not a general claim.</w:t>
      </w:r>
    </w:p>
    <w:p>
      <w:pPr>
        <w:pStyle w:val="Heading3"/>
        <w:spacing w:before="200" w:after="120"/>
      </w:pPr>
      <w:r>
        <w:rPr>
          <w:color w:val="1F3B73"/>
          <w:sz w:val="25"/>
        </w:rPr>
        <w:t>4.7.4 Model Selection Procedure</w:t>
      </w:r>
    </w:p>
    <w:p>
      <w:pPr>
        <w:spacing w:after="160" w:line="276" w:lineRule="auto"/>
        <w:jc w:val="both"/>
      </w:pPr>
      <w:r>
        <w:rPr>
          <w:sz w:val="22"/>
        </w:rPr>
        <w:t xml:space="preserve">The above result has a direct engineering consequence. The training pipeline originally selected the model to deploy by </w:t>
      </w:r>
      <w:r>
        <w:rPr>
          <w:b/>
          <w:sz w:val="22"/>
        </w:rPr>
        <w:t>weighted F1</w:t>
      </w:r>
      <w:r>
        <w:rPr>
          <w:sz w:val="22"/>
        </w:rPr>
        <w:t xml:space="preserve"> — the one metric that cannot distinguish these models. The selection procedure was therefore reformulated:</w:t>
      </w:r>
    </w:p>
    <w:p>
      <w:pPr>
        <w:pStyle w:val="ListNumber"/>
        <w:spacing w:after="60"/>
      </w:pPr>
      <w:r>
        <w:rPr>
          <w:sz w:val="22"/>
        </w:rPr>
        <w:t xml:space="preserve">Any model whose </w:t>
      </w:r>
      <w:r>
        <w:rPr>
          <w:b/>
          <w:sz w:val="22"/>
        </w:rPr>
        <w:t>weakest per-class recall falls below 0.50</w:t>
      </w:r>
      <w:r>
        <w:rPr>
          <w:sz w:val="22"/>
        </w:rPr>
        <w:t xml:space="preserve"> is </w:t>
      </w:r>
      <w:r>
        <w:rPr>
          <w:b/>
          <w:sz w:val="22"/>
        </w:rPr>
        <w:t>rejected</w:t>
      </w:r>
      <w:r>
        <w:rPr>
          <w:sz w:val="22"/>
        </w:rPr>
        <w:t>,</w:t>
      </w:r>
    </w:p>
    <w:p>
      <w:pPr>
        <w:spacing w:after="160" w:line="276" w:lineRule="auto"/>
        <w:jc w:val="both"/>
      </w:pPr>
      <w:r>
        <w:rPr>
          <w:sz w:val="22"/>
        </w:rPr>
        <w:t>whatever its aggregate score.</w:t>
      </w:r>
    </w:p>
    <w:p>
      <w:pPr>
        <w:pStyle w:val="ListNumber"/>
        <w:spacing w:after="60"/>
      </w:pPr>
      <w:r>
        <w:rPr>
          <w:sz w:val="22"/>
        </w:rPr>
        <w:t xml:space="preserve">Remaining models are ranked by </w:t>
      </w:r>
      <w:r>
        <w:rPr>
          <w:b/>
          <w:sz w:val="22"/>
        </w:rPr>
        <w:t>macro F1</w:t>
      </w:r>
      <w:r>
        <w:rPr>
          <w:sz w:val="22"/>
        </w:rPr>
        <w:t>.</w:t>
      </w:r>
    </w:p>
    <w:p>
      <w:pPr>
        <w:pStyle w:val="ListNumber"/>
        <w:spacing w:after="60"/>
      </w:pPr>
      <w:r>
        <w:rPr>
          <w:sz w:val="22"/>
        </w:rPr>
        <w:t xml:space="preserve">The choice, the rule and the per-class metrics of </w:t>
      </w:r>
      <w:r>
        <w:rPr>
          <w:i/>
          <w:sz w:val="22"/>
        </w:rPr>
        <w:t>every</w:t>
      </w:r>
      <w:r>
        <w:rPr>
          <w:sz w:val="22"/>
        </w:rPr>
        <w:t xml:space="preserve"> candidate are written</w:t>
      </w:r>
    </w:p>
    <w:p>
      <w:pPr>
        <w:spacing w:after="160" w:line="276" w:lineRule="auto"/>
        <w:jc w:val="both"/>
      </w:pPr>
      <w:r>
        <w:rPr>
          <w:sz w:val="22"/>
        </w:rPr>
        <w:t xml:space="preserve">to </w:t>
      </w:r>
      <w:r>
        <w:rPr>
          <w:rFonts w:ascii="Consolas" w:hAnsi="Consolas"/>
          <w:color w:val="24292E"/>
          <w:sz w:val="20"/>
        </w:rPr>
        <w:t>artifacts/manifest.json</w:t>
      </w:r>
      <w:r>
        <w:rPr>
          <w:sz w:val="22"/>
        </w:rPr>
        <w:t>, and the serving code reads that file rather than inferring the model from filenames.</w:t>
      </w:r>
    </w:p>
    <w:p>
      <w:pPr>
        <w:spacing w:after="160" w:line="276" w:lineRule="auto"/>
        <w:jc w:val="both"/>
      </w:pPr>
      <w:r>
        <w:rPr>
          <w:sz w:val="22"/>
        </w:rPr>
        <w:t>Applying this procedure to the trained models:</w:t>
      </w:r>
    </w:p>
    <w:p>
      <w:pPr>
        <w:spacing w:before="120" w:after="200" w:line="240" w:lineRule="auto"/>
        <w:ind w:left="432"/>
        <w:shd w:val="clear" w:color="auto" w:fill="F4F5F7"/>
      </w:pPr>
      <w:r>
        <w:rPr>
          <w:rFonts w:ascii="Consolas" w:hAnsi="Consolas"/>
          <w:color w:val="24292E"/>
          <w:sz w:val="18"/>
        </w:rPr>
        <w:t>Excluded (per-class recall &lt; 50%):</w:t>
        <w:br/>
        <w:t xml:space="preserve">    GradientBoosting     WEBATTACK = 0.10</w:t>
        <w:br/>
        <w:t xml:space="preserve">    RandomForest         WEBATTACK = 0.08</w:t>
        <w:br/>
        <w:t xml:space="preserve">    VotingEnsemble       WEBATTACK = 0.10</w:t>
        <w:br/>
        <w:br/>
        <w:t>Selected: DNN (macro F1 = 0.9657, weakest class BOTNET = 0.74)</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Console output of the model selection procedure showing rejected models and the final selection]</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Contents of artifacts/manifest.json showing served model, selection rule and per-class metrics]</w:t>
      </w:r>
    </w:p>
    <w:p>
      <w:pPr>
        <w:pStyle w:val="Heading3"/>
        <w:spacing w:before="200" w:after="120"/>
      </w:pPr>
      <w:r>
        <w:rPr>
          <w:color w:val="1F3B73"/>
          <w:sz w:val="25"/>
        </w:rPr>
        <w:t>4.7.5 End-to-End Pipeline Behaviour</w:t>
      </w:r>
    </w:p>
    <w:p>
      <w:pPr>
        <w:spacing w:after="160" w:line="276" w:lineRule="auto"/>
        <w:jc w:val="both"/>
      </w:pPr>
      <w:r>
        <w:rPr>
          <w:sz w:val="22"/>
        </w:rPr>
        <w:t>The table below shows the complete pipeline response to a representative flow of each class — detection through to the authorised action:</w:t>
      </w:r>
    </w:p>
    <w:tbl>
      <w:tblPr>
        <w:tblStyle w:val="TableGrid"/>
        <w:tblW w:type="auto" w:w="0"/>
        <w:jc w:val="center"/>
        <w:tblLayout w:type="autofit"/>
        <w:tblLook w:firstColumn="1" w:firstRow="1" w:lastColumn="0" w:lastRow="0" w:noHBand="0" w:noVBand="1" w:val="04A0"/>
      </w:tblPr>
      <w:tblGrid>
        <w:gridCol w:w="1290"/>
        <w:gridCol w:w="1290"/>
        <w:gridCol w:w="1290"/>
        <w:gridCol w:w="1290"/>
        <w:gridCol w:w="1290"/>
        <w:gridCol w:w="1290"/>
        <w:gridCol w:w="1290"/>
      </w:tblGrid>
      <w:tr>
        <w:trPr>
          <w:tblHeader w:val="true"/>
        </w:trPr>
        <w:tc>
          <w:tcPr>
            <w:tcW w:type="dxa" w:w="1290"/>
            <w:shd w:val="clear" w:color="auto" w:fill="1F3B73"/>
          </w:tcPr>
          <w:p>
            <w:pPr>
              <w:spacing w:before="40" w:after="40"/>
            </w:pPr>
            <w:r/>
            <w:r>
              <w:rPr>
                <w:b/>
                <w:color w:val="FFFFFF"/>
                <w:sz w:val="19"/>
              </w:rPr>
              <w:t>Input profile</w:t>
            </w:r>
          </w:p>
        </w:tc>
        <w:tc>
          <w:tcPr>
            <w:tcW w:type="dxa" w:w="1290"/>
            <w:shd w:val="clear" w:color="auto" w:fill="1F3B73"/>
          </w:tcPr>
          <w:p>
            <w:pPr>
              <w:spacing w:before="40" w:after="40"/>
            </w:pPr>
            <w:r/>
            <w:r>
              <w:rPr>
                <w:b/>
                <w:color w:val="FFFFFF"/>
                <w:sz w:val="19"/>
              </w:rPr>
              <w:t>Predicted</w:t>
            </w:r>
          </w:p>
        </w:tc>
        <w:tc>
          <w:tcPr>
            <w:tcW w:type="dxa" w:w="1290"/>
            <w:shd w:val="clear" w:color="auto" w:fill="1F3B73"/>
          </w:tcPr>
          <w:p>
            <w:pPr>
              <w:spacing w:before="40" w:after="40"/>
            </w:pPr>
            <w:r/>
            <w:r>
              <w:rPr>
                <w:b/>
                <w:color w:val="FFFFFF"/>
                <w:sz w:val="19"/>
              </w:rPr>
              <w:t>Confidence</w:t>
            </w:r>
          </w:p>
        </w:tc>
        <w:tc>
          <w:tcPr>
            <w:tcW w:type="dxa" w:w="1290"/>
            <w:shd w:val="clear" w:color="auto" w:fill="1F3B73"/>
          </w:tcPr>
          <w:p>
            <w:pPr>
              <w:spacing w:before="40" w:after="40"/>
            </w:pPr>
            <w:r/>
            <w:r>
              <w:rPr>
                <w:b/>
                <w:color w:val="FFFFFF"/>
                <w:sz w:val="19"/>
              </w:rPr>
              <w:t>Risk</w:t>
            </w:r>
          </w:p>
        </w:tc>
        <w:tc>
          <w:tcPr>
            <w:tcW w:type="dxa" w:w="1290"/>
            <w:shd w:val="clear" w:color="auto" w:fill="1F3B73"/>
          </w:tcPr>
          <w:p>
            <w:pPr>
              <w:spacing w:before="40" w:after="40"/>
            </w:pPr>
            <w:r/>
            <w:r>
              <w:rPr>
                <w:b/>
                <w:color w:val="FFFFFF"/>
                <w:sz w:val="19"/>
              </w:rPr>
              <w:t>Severity</w:t>
            </w:r>
          </w:p>
        </w:tc>
        <w:tc>
          <w:tcPr>
            <w:tcW w:type="dxa" w:w="1290"/>
            <w:shd w:val="clear" w:color="auto" w:fill="1F3B73"/>
          </w:tcPr>
          <w:p>
            <w:pPr>
              <w:spacing w:before="40" w:after="40"/>
            </w:pPr>
            <w:r/>
            <w:r>
              <w:rPr>
                <w:b/>
                <w:color w:val="FFFFFF"/>
                <w:sz w:val="19"/>
              </w:rPr>
              <w:t>Action taken</w:t>
            </w:r>
          </w:p>
        </w:tc>
        <w:tc>
          <w:tcPr>
            <w:tcW w:type="dxa" w:w="1290"/>
            <w:shd w:val="clear" w:color="auto" w:fill="1F3B73"/>
          </w:tcPr>
          <w:p>
            <w:pPr>
              <w:spacing w:before="40" w:after="40"/>
            </w:pPr>
            <w:r/>
            <w:r>
              <w:rPr>
                <w:b/>
                <w:color w:val="FFFFFF"/>
                <w:sz w:val="19"/>
              </w:rPr>
              <w:t>Approval</w:t>
            </w:r>
          </w:p>
        </w:tc>
      </w:tr>
      <w:tr>
        <w:tc>
          <w:tcPr>
            <w:tcW w:type="dxa" w:w="1290"/>
          </w:tcPr>
          <w:p>
            <w:pPr>
              <w:spacing w:before="40" w:after="40"/>
            </w:pPr>
            <w:r/>
            <w:r>
              <w:rPr>
                <w:sz w:val="19"/>
              </w:rPr>
              <w:t>BENIGN</w:t>
            </w:r>
          </w:p>
        </w:tc>
        <w:tc>
          <w:tcPr>
            <w:tcW w:type="dxa" w:w="1290"/>
          </w:tcPr>
          <w:p>
            <w:pPr>
              <w:spacing w:before="40" w:after="40"/>
            </w:pPr>
            <w:r/>
            <w:r>
              <w:rPr>
                <w:sz w:val="19"/>
              </w:rPr>
              <w:t>BENIGN</w:t>
            </w:r>
          </w:p>
        </w:tc>
        <w:tc>
          <w:tcPr>
            <w:tcW w:type="dxa" w:w="1290"/>
          </w:tcPr>
          <w:p>
            <w:pPr>
              <w:spacing w:before="40" w:after="40"/>
            </w:pPr>
            <w:r/>
            <w:r>
              <w:rPr>
                <w:sz w:val="19"/>
              </w:rPr>
              <w:t>0.99</w:t>
            </w:r>
          </w:p>
        </w:tc>
        <w:tc>
          <w:tcPr>
            <w:tcW w:type="dxa" w:w="1290"/>
          </w:tcPr>
          <w:p>
            <w:pPr>
              <w:spacing w:before="40" w:after="40"/>
            </w:pPr>
            <w:r/>
            <w:r>
              <w:rPr>
                <w:sz w:val="19"/>
              </w:rPr>
              <w:t>0.0</w:t>
            </w:r>
          </w:p>
        </w:tc>
        <w:tc>
          <w:tcPr>
            <w:tcW w:type="dxa" w:w="1290"/>
          </w:tcPr>
          <w:p>
            <w:pPr>
              <w:spacing w:before="40" w:after="40"/>
            </w:pPr>
            <w:r/>
            <w:r>
              <w:rPr>
                <w:sz w:val="19"/>
              </w:rPr>
              <w:t>INFO</w:t>
            </w:r>
          </w:p>
        </w:tc>
        <w:tc>
          <w:tcPr>
            <w:tcW w:type="dxa" w:w="1290"/>
          </w:tcPr>
          <w:p>
            <w:pPr>
              <w:spacing w:before="40" w:after="40"/>
            </w:pPr>
            <w:r/>
            <w:r>
              <w:rPr>
                <w:sz w:val="19"/>
              </w:rPr>
              <w:t>LOG_ONLY</w:t>
            </w:r>
          </w:p>
        </w:tc>
        <w:tc>
          <w:tcPr>
            <w:tcW w:type="dxa" w:w="1290"/>
          </w:tcPr>
          <w:p>
            <w:pPr>
              <w:spacing w:before="40" w:after="40"/>
            </w:pPr>
            <w:r/>
            <w:r>
              <w:rPr>
                <w:sz w:val="19"/>
              </w:rPr>
              <w:t>auto</w:t>
            </w:r>
          </w:p>
        </w:tc>
      </w:tr>
      <w:tr>
        <w:tc>
          <w:tcPr>
            <w:tcW w:type="dxa" w:w="1290"/>
          </w:tcPr>
          <w:p>
            <w:pPr>
              <w:spacing w:before="40" w:after="40"/>
            </w:pPr>
            <w:r/>
            <w:r>
              <w:rPr>
                <w:sz w:val="19"/>
              </w:rPr>
              <w:t>PORTSCAN</w:t>
            </w:r>
          </w:p>
        </w:tc>
        <w:tc>
          <w:tcPr>
            <w:tcW w:type="dxa" w:w="1290"/>
          </w:tcPr>
          <w:p>
            <w:pPr>
              <w:spacing w:before="40" w:after="40"/>
            </w:pPr>
            <w:r/>
            <w:r>
              <w:rPr>
                <w:sz w:val="19"/>
              </w:rPr>
              <w:t>PORTSCAN</w:t>
            </w:r>
          </w:p>
        </w:tc>
        <w:tc>
          <w:tcPr>
            <w:tcW w:type="dxa" w:w="1290"/>
          </w:tcPr>
          <w:p>
            <w:pPr>
              <w:spacing w:before="40" w:after="40"/>
            </w:pPr>
            <w:r/>
            <w:r>
              <w:rPr>
                <w:sz w:val="19"/>
              </w:rPr>
              <w:t>1.00</w:t>
            </w:r>
          </w:p>
        </w:tc>
        <w:tc>
          <w:tcPr>
            <w:tcW w:type="dxa" w:w="1290"/>
          </w:tcPr>
          <w:p>
            <w:pPr>
              <w:spacing w:before="40" w:after="40"/>
            </w:pPr>
            <w:r/>
            <w:r>
              <w:rPr>
                <w:sz w:val="19"/>
              </w:rPr>
              <w:t>40.0</w:t>
            </w:r>
          </w:p>
        </w:tc>
        <w:tc>
          <w:tcPr>
            <w:tcW w:type="dxa" w:w="1290"/>
          </w:tcPr>
          <w:p>
            <w:pPr>
              <w:spacing w:before="40" w:after="40"/>
            </w:pPr>
            <w:r/>
            <w:r>
              <w:rPr>
                <w:sz w:val="19"/>
              </w:rPr>
              <w:t>MEDIUM</w:t>
            </w:r>
          </w:p>
        </w:tc>
        <w:tc>
          <w:tcPr>
            <w:tcW w:type="dxa" w:w="1290"/>
          </w:tcPr>
          <w:p>
            <w:pPr>
              <w:spacing w:before="40" w:after="40"/>
            </w:pPr>
            <w:r/>
            <w:r>
              <w:rPr>
                <w:sz w:val="19"/>
              </w:rPr>
              <w:t>RATE_LIMIT</w:t>
            </w:r>
          </w:p>
        </w:tc>
        <w:tc>
          <w:tcPr>
            <w:tcW w:type="dxa" w:w="1290"/>
          </w:tcPr>
          <w:p>
            <w:pPr>
              <w:spacing w:before="40" w:after="40"/>
            </w:pPr>
            <w:r/>
            <w:r>
              <w:rPr>
                <w:sz w:val="19"/>
              </w:rPr>
              <w:t>auto</w:t>
            </w:r>
          </w:p>
        </w:tc>
      </w:tr>
      <w:tr>
        <w:tc>
          <w:tcPr>
            <w:tcW w:type="dxa" w:w="1290"/>
          </w:tcPr>
          <w:p>
            <w:pPr>
              <w:spacing w:before="40" w:after="40"/>
            </w:pPr>
            <w:r/>
            <w:r>
              <w:rPr>
                <w:sz w:val="19"/>
              </w:rPr>
              <w:t>BRUTEFORCE</w:t>
            </w:r>
          </w:p>
        </w:tc>
        <w:tc>
          <w:tcPr>
            <w:tcW w:type="dxa" w:w="1290"/>
          </w:tcPr>
          <w:p>
            <w:pPr>
              <w:spacing w:before="40" w:after="40"/>
            </w:pPr>
            <w:r/>
            <w:r>
              <w:rPr>
                <w:sz w:val="19"/>
              </w:rPr>
              <w:t>BRUTEFORCE</w:t>
            </w:r>
          </w:p>
        </w:tc>
        <w:tc>
          <w:tcPr>
            <w:tcW w:type="dxa" w:w="1290"/>
          </w:tcPr>
          <w:p>
            <w:pPr>
              <w:spacing w:before="40" w:after="40"/>
            </w:pPr>
            <w:r/>
            <w:r>
              <w:rPr>
                <w:sz w:val="19"/>
              </w:rPr>
              <w:t>1.00</w:t>
            </w:r>
          </w:p>
        </w:tc>
        <w:tc>
          <w:tcPr>
            <w:tcW w:type="dxa" w:w="1290"/>
          </w:tcPr>
          <w:p>
            <w:pPr>
              <w:spacing w:before="40" w:after="40"/>
            </w:pPr>
            <w:r/>
            <w:r>
              <w:rPr>
                <w:sz w:val="19"/>
              </w:rPr>
              <w:t>70.0</w:t>
            </w:r>
          </w:p>
        </w:tc>
        <w:tc>
          <w:tcPr>
            <w:tcW w:type="dxa" w:w="1290"/>
          </w:tcPr>
          <w:p>
            <w:pPr>
              <w:spacing w:before="40" w:after="40"/>
            </w:pPr>
            <w:r/>
            <w:r>
              <w:rPr>
                <w:sz w:val="19"/>
              </w:rPr>
              <w:t>HIGH</w:t>
            </w:r>
          </w:p>
        </w:tc>
        <w:tc>
          <w:tcPr>
            <w:tcW w:type="dxa" w:w="1290"/>
          </w:tcPr>
          <w:p>
            <w:pPr>
              <w:spacing w:before="40" w:after="40"/>
            </w:pPr>
            <w:r/>
            <w:r>
              <w:rPr>
                <w:sz w:val="19"/>
              </w:rPr>
              <w:t>NOTIFY_SOC</w:t>
            </w:r>
          </w:p>
        </w:tc>
        <w:tc>
          <w:tcPr>
            <w:tcW w:type="dxa" w:w="1290"/>
          </w:tcPr>
          <w:p>
            <w:pPr>
              <w:spacing w:before="40" w:after="40"/>
            </w:pPr>
            <w:r/>
            <w:r>
              <w:rPr>
                <w:sz w:val="19"/>
              </w:rPr>
              <w:t>auto</w:t>
            </w:r>
          </w:p>
        </w:tc>
      </w:tr>
      <w:tr>
        <w:tc>
          <w:tcPr>
            <w:tcW w:type="dxa" w:w="1290"/>
          </w:tcPr>
          <w:p>
            <w:pPr>
              <w:spacing w:before="40" w:after="40"/>
            </w:pPr>
            <w:r/>
            <w:r>
              <w:rPr>
                <w:sz w:val="19"/>
              </w:rPr>
              <w:t>DOS</w:t>
            </w:r>
          </w:p>
        </w:tc>
        <w:tc>
          <w:tcPr>
            <w:tcW w:type="dxa" w:w="1290"/>
          </w:tcPr>
          <w:p>
            <w:pPr>
              <w:spacing w:before="40" w:after="40"/>
            </w:pPr>
            <w:r/>
            <w:r>
              <w:rPr>
                <w:sz w:val="19"/>
              </w:rPr>
              <w:t>DOS</w:t>
            </w:r>
          </w:p>
        </w:tc>
        <w:tc>
          <w:tcPr>
            <w:tcW w:type="dxa" w:w="1290"/>
          </w:tcPr>
          <w:p>
            <w:pPr>
              <w:spacing w:before="40" w:after="40"/>
            </w:pPr>
            <w:r/>
            <w:r>
              <w:rPr>
                <w:sz w:val="19"/>
              </w:rPr>
              <w:t>1.00</w:t>
            </w:r>
          </w:p>
        </w:tc>
        <w:tc>
          <w:tcPr>
            <w:tcW w:type="dxa" w:w="1290"/>
          </w:tcPr>
          <w:p>
            <w:pPr>
              <w:spacing w:before="40" w:after="40"/>
            </w:pPr>
            <w:r/>
            <w:r>
              <w:rPr>
                <w:sz w:val="19"/>
              </w:rPr>
              <w:t>81.2</w:t>
            </w:r>
          </w:p>
        </w:tc>
        <w:tc>
          <w:tcPr>
            <w:tcW w:type="dxa" w:w="1290"/>
          </w:tcPr>
          <w:p>
            <w:pPr>
              <w:spacing w:before="40" w:after="40"/>
            </w:pPr>
            <w:r/>
            <w:r>
              <w:rPr>
                <w:sz w:val="19"/>
              </w:rPr>
              <w:t>CRITICAL</w:t>
            </w:r>
          </w:p>
        </w:tc>
        <w:tc>
          <w:tcPr>
            <w:tcW w:type="dxa" w:w="1290"/>
          </w:tcPr>
          <w:p>
            <w:pPr>
              <w:spacing w:before="40" w:after="40"/>
            </w:pPr>
            <w:r/>
            <w:r>
              <w:rPr>
                <w:sz w:val="19"/>
              </w:rPr>
              <w:t>BLOCK_IP</w:t>
            </w:r>
          </w:p>
        </w:tc>
        <w:tc>
          <w:tcPr>
            <w:tcW w:type="dxa" w:w="1290"/>
          </w:tcPr>
          <w:p>
            <w:pPr>
              <w:spacing w:before="40" w:after="40"/>
            </w:pPr>
            <w:r/>
            <w:r>
              <w:rPr>
                <w:sz w:val="19"/>
              </w:rPr>
              <w:t>auto</w:t>
            </w:r>
          </w:p>
        </w:tc>
      </w:tr>
      <w:tr>
        <w:tc>
          <w:tcPr>
            <w:tcW w:type="dxa" w:w="1290"/>
          </w:tcPr>
          <w:p>
            <w:pPr>
              <w:spacing w:before="40" w:after="40"/>
            </w:pPr>
            <w:r/>
            <w:r>
              <w:rPr>
                <w:sz w:val="19"/>
              </w:rPr>
              <w:t>WEBATTACK</w:t>
            </w:r>
          </w:p>
        </w:tc>
        <w:tc>
          <w:tcPr>
            <w:tcW w:type="dxa" w:w="1290"/>
          </w:tcPr>
          <w:p>
            <w:pPr>
              <w:spacing w:before="40" w:after="40"/>
            </w:pPr>
            <w:r/>
            <w:r>
              <w:rPr>
                <w:sz w:val="19"/>
              </w:rPr>
              <w:t>WEBATTACK</w:t>
            </w:r>
          </w:p>
        </w:tc>
        <w:tc>
          <w:tcPr>
            <w:tcW w:type="dxa" w:w="1290"/>
          </w:tcPr>
          <w:p>
            <w:pPr>
              <w:spacing w:before="40" w:after="40"/>
            </w:pPr>
            <w:r/>
            <w:r>
              <w:rPr>
                <w:sz w:val="19"/>
              </w:rPr>
              <w:t>0.97</w:t>
            </w:r>
          </w:p>
        </w:tc>
        <w:tc>
          <w:tcPr>
            <w:tcW w:type="dxa" w:w="1290"/>
          </w:tcPr>
          <w:p>
            <w:pPr>
              <w:spacing w:before="40" w:after="40"/>
            </w:pPr>
            <w:r/>
            <w:r>
              <w:rPr>
                <w:sz w:val="19"/>
              </w:rPr>
              <w:t>87.1</w:t>
            </w:r>
          </w:p>
        </w:tc>
        <w:tc>
          <w:tcPr>
            <w:tcW w:type="dxa" w:w="1290"/>
          </w:tcPr>
          <w:p>
            <w:pPr>
              <w:spacing w:before="40" w:after="40"/>
            </w:pPr>
            <w:r/>
            <w:r>
              <w:rPr>
                <w:sz w:val="19"/>
              </w:rPr>
              <w:t>CRITICAL</w:t>
            </w:r>
          </w:p>
        </w:tc>
        <w:tc>
          <w:tcPr>
            <w:tcW w:type="dxa" w:w="1290"/>
          </w:tcPr>
          <w:p>
            <w:pPr>
              <w:spacing w:before="40" w:after="40"/>
            </w:pPr>
            <w:r/>
            <w:r>
              <w:rPr>
                <w:sz w:val="19"/>
              </w:rPr>
              <w:t>BLOCK_IP</w:t>
            </w:r>
          </w:p>
        </w:tc>
        <w:tc>
          <w:tcPr>
            <w:tcW w:type="dxa" w:w="1290"/>
          </w:tcPr>
          <w:p>
            <w:pPr>
              <w:spacing w:before="40" w:after="40"/>
            </w:pPr>
            <w:r/>
            <w:r>
              <w:rPr>
                <w:sz w:val="19"/>
              </w:rPr>
              <w:t>auto</w:t>
            </w:r>
          </w:p>
        </w:tc>
      </w:tr>
      <w:tr>
        <w:tc>
          <w:tcPr>
            <w:tcW w:type="dxa" w:w="1290"/>
          </w:tcPr>
          <w:p>
            <w:pPr>
              <w:spacing w:before="40" w:after="40"/>
            </w:pPr>
            <w:r/>
            <w:r>
              <w:rPr>
                <w:sz w:val="19"/>
              </w:rPr>
              <w:t>DDOS</w:t>
            </w:r>
          </w:p>
        </w:tc>
        <w:tc>
          <w:tcPr>
            <w:tcW w:type="dxa" w:w="1290"/>
          </w:tcPr>
          <w:p>
            <w:pPr>
              <w:spacing w:before="40" w:after="40"/>
            </w:pPr>
            <w:r/>
            <w:r>
              <w:rPr>
                <w:sz w:val="19"/>
              </w:rPr>
              <w:t>DDOS</w:t>
            </w:r>
          </w:p>
        </w:tc>
        <w:tc>
          <w:tcPr>
            <w:tcW w:type="dxa" w:w="1290"/>
          </w:tcPr>
          <w:p>
            <w:pPr>
              <w:spacing w:before="40" w:after="40"/>
            </w:pPr>
            <w:r/>
            <w:r>
              <w:rPr>
                <w:sz w:val="19"/>
              </w:rPr>
              <w:t>1.00</w:t>
            </w:r>
          </w:p>
        </w:tc>
        <w:tc>
          <w:tcPr>
            <w:tcW w:type="dxa" w:w="1290"/>
          </w:tcPr>
          <w:p>
            <w:pPr>
              <w:spacing w:before="40" w:after="40"/>
            </w:pPr>
            <w:r/>
            <w:r>
              <w:rPr>
                <w:sz w:val="19"/>
              </w:rPr>
              <w:t>88.8</w:t>
            </w:r>
          </w:p>
        </w:tc>
        <w:tc>
          <w:tcPr>
            <w:tcW w:type="dxa" w:w="1290"/>
          </w:tcPr>
          <w:p>
            <w:pPr>
              <w:spacing w:before="40" w:after="40"/>
            </w:pPr>
            <w:r/>
            <w:r>
              <w:rPr>
                <w:sz w:val="19"/>
              </w:rPr>
              <w:t>CRITICAL</w:t>
            </w:r>
          </w:p>
        </w:tc>
        <w:tc>
          <w:tcPr>
            <w:tcW w:type="dxa" w:w="1290"/>
          </w:tcPr>
          <w:p>
            <w:pPr>
              <w:spacing w:before="40" w:after="40"/>
            </w:pPr>
            <w:r/>
            <w:r>
              <w:rPr>
                <w:sz w:val="19"/>
              </w:rPr>
              <w:t>BLOCK_IP</w:t>
            </w:r>
          </w:p>
        </w:tc>
        <w:tc>
          <w:tcPr>
            <w:tcW w:type="dxa" w:w="1290"/>
          </w:tcPr>
          <w:p>
            <w:pPr>
              <w:spacing w:before="40" w:after="40"/>
            </w:pPr>
            <w:r/>
            <w:r>
              <w:rPr>
                <w:sz w:val="19"/>
              </w:rPr>
              <w:t>auto</w:t>
            </w:r>
          </w:p>
        </w:tc>
      </w:tr>
      <w:tr>
        <w:tc>
          <w:tcPr>
            <w:tcW w:type="dxa" w:w="1290"/>
          </w:tcPr>
          <w:p>
            <w:pPr>
              <w:spacing w:before="40" w:after="40"/>
            </w:pPr>
            <w:r/>
            <w:r>
              <w:rPr>
                <w:sz w:val="19"/>
              </w:rPr>
              <w:t>BOTNET</w:t>
            </w:r>
          </w:p>
        </w:tc>
        <w:tc>
          <w:tcPr>
            <w:tcW w:type="dxa" w:w="1290"/>
          </w:tcPr>
          <w:p>
            <w:pPr>
              <w:spacing w:before="40" w:after="40"/>
            </w:pPr>
            <w:r/>
            <w:r>
              <w:rPr>
                <w:sz w:val="19"/>
              </w:rPr>
              <w:t>BOTNET</w:t>
            </w:r>
          </w:p>
        </w:tc>
        <w:tc>
          <w:tcPr>
            <w:tcW w:type="dxa" w:w="1290"/>
          </w:tcPr>
          <w:p>
            <w:pPr>
              <w:spacing w:before="40" w:after="40"/>
            </w:pPr>
            <w:r/>
            <w:r>
              <w:rPr>
                <w:sz w:val="19"/>
              </w:rPr>
              <w:t>1.00</w:t>
            </w:r>
          </w:p>
        </w:tc>
        <w:tc>
          <w:tcPr>
            <w:tcW w:type="dxa" w:w="1290"/>
          </w:tcPr>
          <w:p>
            <w:pPr>
              <w:spacing w:before="40" w:after="40"/>
            </w:pPr>
            <w:r/>
            <w:r>
              <w:rPr>
                <w:sz w:val="19"/>
              </w:rPr>
              <w:t>95.0</w:t>
            </w:r>
          </w:p>
        </w:tc>
        <w:tc>
          <w:tcPr>
            <w:tcW w:type="dxa" w:w="1290"/>
          </w:tcPr>
          <w:p>
            <w:pPr>
              <w:spacing w:before="40" w:after="40"/>
            </w:pPr>
            <w:r/>
            <w:r>
              <w:rPr>
                <w:sz w:val="19"/>
              </w:rPr>
              <w:t>CRITICAL</w:t>
            </w:r>
          </w:p>
        </w:tc>
        <w:tc>
          <w:tcPr>
            <w:tcW w:type="dxa" w:w="1290"/>
          </w:tcPr>
          <w:p>
            <w:pPr>
              <w:spacing w:before="40" w:after="40"/>
            </w:pPr>
            <w:r/>
            <w:r>
              <w:rPr>
                <w:sz w:val="19"/>
              </w:rPr>
              <w:t>BLOCK_IP</w:t>
            </w:r>
          </w:p>
        </w:tc>
        <w:tc>
          <w:tcPr>
            <w:tcW w:type="dxa" w:w="1290"/>
          </w:tcPr>
          <w:p>
            <w:pPr>
              <w:spacing w:before="40" w:after="40"/>
            </w:pPr>
            <w:r/>
            <w:r>
              <w:rPr>
                <w:sz w:val="19"/>
              </w:rPr>
              <w:t>auto</w:t>
            </w:r>
          </w:p>
        </w:tc>
      </w:tr>
    </w:tbl>
    <w:p>
      <w:pPr>
        <w:spacing w:after="80"/>
      </w:pPr>
    </w:p>
    <w:p>
      <w:pPr>
        <w:spacing w:after="160" w:line="276" w:lineRule="auto"/>
        <w:jc w:val="both"/>
      </w:pPr>
      <w:r>
        <w:rPr>
          <w:sz w:val="22"/>
        </w:rPr>
        <w:t>Two behaviours are worth noting.</w:t>
      </w:r>
    </w:p>
    <w:p>
      <w:pPr>
        <w:spacing w:after="160" w:line="276" w:lineRule="auto"/>
        <w:jc w:val="both"/>
      </w:pPr>
      <w:r>
        <w:rPr>
          <w:b/>
          <w:sz w:val="22"/>
        </w:rPr>
        <w:t>Graduated response.</w:t>
      </w:r>
      <w:r>
        <w:rPr>
          <w:sz w:val="22"/>
        </w:rPr>
        <w:t xml:space="preserve"> Port scanning receives rate limiting rather than an IP block, despite the model being 100% confident. Under the earlier confidence-only risk formulation this flow scored 100 and triggered automatic blocking. Since scanning is constant background noise on any internet-facing interface, automatically blocking every scanner is self-harm. The revised scoring produces a response proportional to consequence rather than to certainty.</w:t>
      </w:r>
    </w:p>
    <w:p>
      <w:pPr>
        <w:spacing w:after="160" w:line="276" w:lineRule="auto"/>
        <w:jc w:val="both"/>
      </w:pPr>
      <w:r>
        <w:rPr>
          <w:b/>
          <w:sz w:val="22"/>
        </w:rPr>
        <w:t>Independent corroboration.</w:t>
      </w:r>
      <w:r>
        <w:rPr>
          <w:sz w:val="22"/>
        </w:rPr>
        <w:t xml:space="preserve"> The DDOS and DOS profiles show risk values above their class base (88.8 against a base of 85; 81.2 against 75) because the unsupervised anomaly layer independently flagged these flows as out-of-distribution. Agreement between two independently trained models is stronger evidence than either alone.</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Simulation page showing a generated attack with its detection, decision and response outcome]</w:t>
      </w:r>
    </w:p>
    <w:p>
      <w:pPr>
        <w:spacing w:before="200" w:after="200"/>
        <w:ind w:left="360" w:right="360"/>
        <w:jc w:val="center"/>
        <w:shd w:val="clear" w:color="auto" w:fill="FFF4E5"/>
        <w:pBdr>
          <w:top w:val="single" w:sz="6" w:space="6" w:color="D9A441"/>
          <w:left w:val="single" w:sz="6" w:space="6" w:color="D9A441"/>
          <w:bottom w:val="single" w:sz="6" w:space="6" w:color="D9A441"/>
          <w:right w:val="single" w:sz="6" w:space="6" w:color="D9A441"/>
        </w:pBdr>
      </w:pPr>
      <w:r>
        <w:rPr>
          <w:b/>
          <w:i/>
          <w:color w:val="8A4000"/>
          <w:sz w:val="21"/>
        </w:rPr>
        <w:t>[Insert Screenshot: Live activity feed showing the real agent trace — detection_agent_started, ids_detection_completed, decision_agent_completed, response_agent_completed]</w:t>
      </w:r>
    </w:p>
    <w:p>
      <w:pPr>
        <w:spacing w:before="40" w:after="40"/>
        <w:pBdr>
          <w:bottom w:val="single" w:sz="6" w:space="1" w:color="BBBBBB"/>
        </w:pBdr>
      </w:pPr>
    </w:p>
    <w:p>
      <w:pPr>
        <w:pStyle w:val="Heading2"/>
        <w:spacing w:before="280" w:after="120"/>
      </w:pPr>
      <w:r>
        <w:rPr>
          <w:color w:val="1F3B73"/>
          <w:sz w:val="30"/>
        </w:rPr>
        <w:t>4.8 Summary of Work</w:t>
      </w:r>
    </w:p>
    <w:p>
      <w:pPr>
        <w:spacing w:after="160" w:line="276" w:lineRule="auto"/>
        <w:jc w:val="both"/>
      </w:pPr>
      <w:r>
        <w:rPr>
          <w:sz w:val="22"/>
        </w:rPr>
        <w:t>The implemented system comprises:</w:t>
      </w:r>
    </w:p>
    <w:p>
      <w:pPr>
        <w:pStyle w:val="ListBullet"/>
        <w:spacing w:after="60"/>
      </w:pPr>
      <w:r>
        <w:rPr>
          <w:sz w:val="22"/>
        </w:rPr>
        <w:t>A preprocessing pipeline reducing 2.5 million labelled flows to a balanced,</w:t>
      </w:r>
    </w:p>
    <w:p>
      <w:pPr>
        <w:spacing w:after="160" w:line="276" w:lineRule="auto"/>
        <w:jc w:val="both"/>
      </w:pPr>
      <w:r>
        <w:rPr>
          <w:sz w:val="22"/>
        </w:rPr>
        <w:t>42-feature training set.</w:t>
      </w:r>
    </w:p>
    <w:p>
      <w:pPr>
        <w:pStyle w:val="ListBullet"/>
        <w:spacing w:after="60"/>
      </w:pPr>
      <w:r>
        <w:rPr>
          <w:sz w:val="22"/>
        </w:rPr>
        <w:t>Four trained classifiers plus a two-model unsupervised anomaly layer.</w:t>
      </w:r>
    </w:p>
    <w:p>
      <w:pPr>
        <w:pStyle w:val="ListBullet"/>
        <w:spacing w:after="60"/>
      </w:pPr>
      <w:r>
        <w:rPr>
          <w:sz w:val="22"/>
        </w:rPr>
        <w:t>A six-agent orchestrated pipeline with policy-driven, guard-authorised response.</w:t>
      </w:r>
    </w:p>
    <w:p>
      <w:pPr>
        <w:pStyle w:val="ListBullet"/>
        <w:spacing w:after="60"/>
      </w:pPr>
      <w:r>
        <w:rPr>
          <w:sz w:val="22"/>
        </w:rPr>
        <w:t>A live ingestion path from packet capture through to detection.</w:t>
      </w:r>
    </w:p>
    <w:p>
      <w:pPr>
        <w:pStyle w:val="ListBullet"/>
        <w:spacing w:after="60"/>
      </w:pPr>
      <w:r>
        <w:rPr>
          <w:sz w:val="22"/>
        </w:rPr>
        <w:t>A REST API of 45 endpoints and a React operations dashboard.</w:t>
      </w:r>
    </w:p>
    <w:p>
      <w:pPr>
        <w:pStyle w:val="ListBullet"/>
        <w:spacing w:after="60"/>
      </w:pPr>
      <w:r>
        <w:rPr>
          <w:sz w:val="22"/>
        </w:rPr>
        <w:t>An automated suite of 446 tests.</w:t>
      </w:r>
    </w:p>
    <w:p>
      <w:pPr>
        <w:spacing w:after="160" w:line="276" w:lineRule="auto"/>
        <w:jc w:val="both"/>
      </w:pPr>
      <w:r>
        <w:rPr>
          <w:sz w:val="22"/>
        </w:rPr>
        <w:t xml:space="preserve">The principal experimental finding is that </w:t>
      </w:r>
      <w:r>
        <w:rPr>
          <w:b/>
          <w:sz w:val="22"/>
        </w:rPr>
        <w:t>aggregate accuracy is an unsafe basis for evaluating intrusion detection models on imbalanced data</w:t>
      </w:r>
      <w:r>
        <w:rPr>
          <w:sz w:val="22"/>
        </w:rPr>
        <w:t>. Four models within 0.3 percentage points of accuracy differ by a factor of twelve in their ability to detect web attacks. Reporting macro-averaged metrics, and enforcing a minimum per-class recall during model selection, are therefore not refinements but requirements.</w:t>
      </w:r>
    </w:p>
    <w:p>
      <w:pPr>
        <w:spacing w:after="160" w:line="276" w:lineRule="auto"/>
        <w:jc w:val="both"/>
      </w:pPr>
      <w:r>
        <w:rPr>
          <w:sz w:val="22"/>
        </w:rPr>
        <w:t xml:space="preserve">The principal engineering finding is that </w:t>
      </w:r>
      <w:r>
        <w:rPr>
          <w:b/>
          <w:sz w:val="22"/>
        </w:rPr>
        <w:t>the most dangerous defects in a security platform are those that degrade it toward silence</w:t>
      </w:r>
      <w:r>
        <w:rPr>
          <w:sz w:val="22"/>
        </w:rPr>
        <w:t>. The feature-contract mismatch described in Section 4.6.3 caused the detector to report a network clean with maximum confidence while receiving no data, and no accuracy metric could have revealed it. Contract testing at component boundaries, and refusing to predict on inputs that fail a coverage check, address a class of failure that model evaluation cannot.</w:t>
      </w:r>
    </w:p>
    <w:p>
      <w:pPr>
        <w:pStyle w:val="Heading3"/>
        <w:spacing w:before="200" w:after="120"/>
      </w:pPr>
      <w:r>
        <w:rPr>
          <w:color w:val="1F3B73"/>
          <w:sz w:val="25"/>
        </w:rPr>
        <w:t>Known Limitations</w:t>
      </w:r>
    </w:p>
    <w:tbl>
      <w:tblPr>
        <w:tblStyle w:val="TableGrid"/>
        <w:tblW w:type="auto" w:w="0"/>
        <w:jc w:val="center"/>
        <w:tblLayout w:type="autofit"/>
        <w:tblLook w:firstColumn="1" w:firstRow="1" w:lastColumn="0" w:lastRow="0" w:noHBand="0" w:noVBand="1" w:val="04A0"/>
      </w:tblPr>
      <w:tblGrid>
        <w:gridCol w:w="4514"/>
        <w:gridCol w:w="4514"/>
      </w:tblGrid>
      <w:tr>
        <w:trPr>
          <w:tblHeader w:val="true"/>
        </w:trPr>
        <w:tc>
          <w:tcPr>
            <w:tcW w:type="dxa" w:w="4514"/>
            <w:shd w:val="clear" w:color="auto" w:fill="1F3B73"/>
          </w:tcPr>
          <w:p>
            <w:pPr>
              <w:spacing w:before="40" w:after="40"/>
            </w:pPr>
            <w:r/>
            <w:r>
              <w:rPr>
                <w:b/>
                <w:color w:val="FFFFFF"/>
                <w:sz w:val="19"/>
              </w:rPr>
              <w:t>Limitation</w:t>
            </w:r>
          </w:p>
        </w:tc>
        <w:tc>
          <w:tcPr>
            <w:tcW w:type="dxa" w:w="4514"/>
            <w:shd w:val="clear" w:color="auto" w:fill="1F3B73"/>
          </w:tcPr>
          <w:p>
            <w:pPr>
              <w:spacing w:before="40" w:after="40"/>
            </w:pPr>
            <w:r/>
            <w:r>
              <w:rPr>
                <w:b/>
                <w:color w:val="FFFFFF"/>
                <w:sz w:val="19"/>
              </w:rPr>
              <w:t>Description</w:t>
            </w:r>
          </w:p>
        </w:tc>
      </w:tr>
      <w:tr>
        <w:tc>
          <w:tcPr>
            <w:tcW w:type="dxa" w:w="4514"/>
          </w:tcPr>
          <w:p>
            <w:pPr>
              <w:spacing w:before="40" w:after="40"/>
            </w:pPr>
            <w:r/>
            <w:r>
              <w:rPr>
                <w:sz w:val="19"/>
              </w:rPr>
              <w:t>No infiltration detection</w:t>
            </w:r>
          </w:p>
        </w:tc>
        <w:tc>
          <w:tcPr>
            <w:tcW w:type="dxa" w:w="4514"/>
          </w:tcPr>
          <w:p>
            <w:pPr>
              <w:spacing w:before="40" w:after="40"/>
            </w:pPr>
            <w:r/>
            <w:r>
              <w:rPr>
                <w:sz w:val="19"/>
              </w:rPr>
              <w:t>The dataset contains no infiltration records; seven classes is the ceiling for this data.</w:t>
            </w:r>
          </w:p>
        </w:tc>
      </w:tr>
      <w:tr>
        <w:tc>
          <w:tcPr>
            <w:tcW w:type="dxa" w:w="4514"/>
          </w:tcPr>
          <w:p>
            <w:pPr>
              <w:spacing w:before="40" w:after="40"/>
            </w:pPr>
            <w:r/>
            <w:r>
              <w:rPr>
                <w:sz w:val="19"/>
              </w:rPr>
              <w:t>BOTNET recall 0.74</w:t>
            </w:r>
          </w:p>
        </w:tc>
        <w:tc>
          <w:tcPr>
            <w:tcW w:type="dxa" w:w="4514"/>
          </w:tcPr>
          <w:p>
            <w:pPr>
              <w:spacing w:before="40" w:after="40"/>
            </w:pPr>
            <w:r/>
            <w:r>
              <w:rPr>
                <w:sz w:val="19"/>
              </w:rPr>
              <w:t>Approximately one in four command-and-control flows is missed, and C2 traffic implies an already-compromised host.</w:t>
            </w:r>
          </w:p>
        </w:tc>
      </w:tr>
      <w:tr>
        <w:tc>
          <w:tcPr>
            <w:tcW w:type="dxa" w:w="4514"/>
          </w:tcPr>
          <w:p>
            <w:pPr>
              <w:spacing w:before="40" w:after="40"/>
            </w:pPr>
            <w:r/>
            <w:r>
              <w:rPr>
                <w:sz w:val="19"/>
              </w:rPr>
              <w:t>Simulated containment</w:t>
            </w:r>
          </w:p>
        </w:tc>
        <w:tc>
          <w:tcPr>
            <w:tcW w:type="dxa" w:w="4514"/>
          </w:tcPr>
          <w:p>
            <w:pPr>
              <w:spacing w:before="40" w:after="40"/>
            </w:pPr>
            <w:r/>
            <w:r>
              <w:rPr>
                <w:sz w:val="19"/>
              </w:rPr>
              <w:t>Response executors maintain an in-process ledger; no firewall or endpoint integration is enabled.</w:t>
            </w:r>
          </w:p>
        </w:tc>
      </w:tr>
      <w:tr>
        <w:tc>
          <w:tcPr>
            <w:tcW w:type="dxa" w:w="4514"/>
          </w:tcPr>
          <w:p>
            <w:pPr>
              <w:spacing w:before="40" w:after="40"/>
            </w:pPr>
            <w:r/>
            <w:r>
              <w:rPr>
                <w:sz w:val="19"/>
              </w:rPr>
              <w:t>Single-host memory</w:t>
            </w:r>
          </w:p>
        </w:tc>
        <w:tc>
          <w:tcPr>
            <w:tcW w:type="dxa" w:w="4514"/>
          </w:tcPr>
          <w:p>
            <w:pPr>
              <w:spacing w:before="40" w:after="40"/>
            </w:pPr>
            <w:r/>
            <w:r>
              <w:rPr>
                <w:sz w:val="19"/>
              </w:rPr>
              <w:t>The embedded vector store permits one process at a time, limiting horizontal scaling.</w:t>
            </w:r>
          </w:p>
        </w:tc>
      </w:tr>
      <w:tr>
        <w:tc>
          <w:tcPr>
            <w:tcW w:type="dxa" w:w="4514"/>
          </w:tcPr>
          <w:p>
            <w:pPr>
              <w:spacing w:before="40" w:after="40"/>
            </w:pPr>
            <w:r/>
            <w:r>
              <w:rPr>
                <w:sz w:val="19"/>
              </w:rPr>
              <w:t>Dataset-derived evaluation</w:t>
            </w:r>
          </w:p>
        </w:tc>
        <w:tc>
          <w:tcPr>
            <w:tcW w:type="dxa" w:w="4514"/>
          </w:tcPr>
          <w:p>
            <w:pPr>
              <w:spacing w:before="40" w:after="40"/>
            </w:pPr>
            <w:r/>
            <w:r>
              <w:rPr>
                <w:sz w:val="19"/>
              </w:rPr>
              <w:t>Reported metrics come from CICIDS2017 held-out data. Performance on a specific production network requires validation on that network's traffic.</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