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Inter" w:cs="Inter" w:eastAsia="Inter" w:hAnsi="Inter"/>
          <w:b/>
          <w:bCs/>
          <w:color w:val="10233F"/>
          <w:sz w:val="32"/>
          <w:szCs w:val="32"/>
        </w:rPr>
        <w:t xml:space="preserve">NIYAM: AICTE APPROVAL WORKFLOW AUTOMATION, COMPLIANCE MONITORING AND ALERT MANAGEMENT SYSTEM</w:t>
      </w:r>
    </w:p>
    <w:p>
      <w:pPr>
        <w:spacing w:after="300" w:before="0"/>
        <w:jc w:val="center"/>
      </w:pPr>
      <w:r>
        <w:rPr>
          <w:rFonts w:ascii="Inter" w:cs="Inter" w:eastAsia="Inter" w:hAnsi="Inter"/>
          <w:b/>
          <w:bCs/>
          <w:color w:val="2457D6"/>
          <w:sz w:val="24"/>
          <w:szCs w:val="24"/>
        </w:rPr>
        <w:t xml:space="preserve">Comprehensive Technical Idea Description &amp; Architectural Specification Report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0233F" w:val="clear"/>
            <w:tcMar>
              <w:top w:type="dxa" w:w="100"/>
              <w:left w:type="dxa" w:w="120"/>
              <w:bottom w:type="dxa" w:w="100"/>
              <w:right w:type="dxa" w:w="120"/>
            </w:tcMar>
          </w:tcPr>
          <w:p>
            <w:r>
              <w:rPr>
                <w:rFonts w:ascii="Inter" w:cs="Inter" w:eastAsia="Inter" w:hAnsi="Inter"/>
                <w:b/>
                <w:bCs/>
                <w:color w:val="FFFFFF"/>
                <w:sz w:val="20"/>
                <w:szCs w:val="20"/>
              </w:rPr>
              <w:t xml:space="preserve">Parameter</w:t>
            </w:r>
          </w:p>
        </w:tc>
        <w:tc>
          <w:tcPr>
            <w:shd w:fill="10233F" w:val="clear"/>
            <w:tcMar>
              <w:top w:type="dxa" w:w="100"/>
              <w:left w:type="dxa" w:w="120"/>
              <w:bottom w:type="dxa" w:w="100"/>
              <w:right w:type="dxa" w:w="120"/>
            </w:tcMar>
          </w:tcPr>
          <w:p>
            <w:r>
              <w:rPr>
                <w:rFonts w:ascii="Inter" w:cs="Inter" w:eastAsia="Inter" w:hAnsi="Inter"/>
                <w:b/>
                <w:bCs/>
                <w:color w:val="FFFFFF"/>
                <w:sz w:val="20"/>
                <w:szCs w:val="20"/>
              </w:rPr>
              <w:t xml:space="preserve">Official Specification</w:t>
            </w:r>
          </w:p>
        </w:tc>
      </w:tr>
      <w:tr>
        <w:tc>
          <w:tcPr>
            <w:tcBorders>
              <w:top w:val="single" w:color="E5EAF1" w:sz="4"/>
              <w:left w:val="single" w:color="E5EAF1" w:sz="4"/>
              <w:bottom w:val="single" w:color="E5EAF1" w:sz="4"/>
              <w:right w:val="single" w:color="E5EAF1" w:sz="4"/>
            </w:tcBorders>
            <w:shd w:fill="F8FAFD" w:val="clear"/>
            <w:tcMar>
              <w:top w:type="dxa" w:w="80"/>
              <w:left w:type="dxa" w:w="120"/>
              <w:bottom w:type="dxa" w:w="80"/>
              <w:right w:type="dxa" w:w="120"/>
            </w:tcMar>
          </w:tcPr>
          <w:p>
            <w:r>
              <w:rPr>
                <w:rFonts w:ascii="Inter" w:cs="Inter" w:eastAsia="Inter" w:hAnsi="Inter"/>
                <w:b/>
                <w:bCs/>
                <w:color w:val="10233F"/>
                <w:sz w:val="19"/>
                <w:szCs w:val="19"/>
              </w:rPr>
              <w:t xml:space="preserve">Official Problem Statement ID</w:t>
            </w:r>
          </w:p>
        </w:tc>
        <w:tc>
          <w:tcPr>
            <w:tcBorders>
              <w:top w:val="single" w:color="E5EAF1" w:sz="4"/>
              <w:left w:val="single" w:color="E5EAF1" w:sz="4"/>
              <w:bottom w:val="single" w:color="E5EAF1" w:sz="4"/>
              <w:right w:val="single" w:color="E5EAF1" w:sz="4"/>
            </w:tcBorders>
            <w:shd w:fill="F8FAFD" w:val="clear"/>
            <w:tcMar>
              <w:top w:type="dxa" w:w="80"/>
              <w:left w:type="dxa" w:w="120"/>
              <w:bottom w:type="dxa" w:w="80"/>
              <w:right w:type="dxa" w:w="120"/>
            </w:tcMar>
          </w:tcPr>
          <w:p>
            <w:r>
              <w:rPr>
                <w:rFonts w:ascii="Inter" w:cs="Inter" w:eastAsia="Inter" w:hAnsi="Inter"/>
                <w:color w:val="334155"/>
                <w:sz w:val="19"/>
                <w:szCs w:val="19"/>
              </w:rPr>
              <w:t xml:space="preserve">26262</w:t>
            </w:r>
          </w:p>
        </w:tc>
      </w:tr>
      <w:tr>
        <w:tc>
          <w:tcPr>
            <w:tcBorders>
              <w:top w:val="single" w:color="E5EAF1" w:sz="4"/>
              <w:left w:val="single" w:color="E5EAF1" w:sz="4"/>
              <w:bottom w:val="single" w:color="E5EAF1" w:sz="4"/>
              <w:right w:val="single" w:color="E5EAF1" w:sz="4"/>
            </w:tcBorders>
            <w:shd w:fill="FFFFFF" w:val="clear"/>
            <w:tcMar>
              <w:top w:type="dxa" w:w="80"/>
              <w:left w:type="dxa" w:w="120"/>
              <w:bottom w:type="dxa" w:w="80"/>
              <w:right w:type="dxa" w:w="120"/>
            </w:tcMar>
          </w:tcPr>
          <w:p>
            <w:r>
              <w:rPr>
                <w:rFonts w:ascii="Inter" w:cs="Inter" w:eastAsia="Inter" w:hAnsi="Inter"/>
                <w:b/>
                <w:bCs/>
                <w:color w:val="10233F"/>
                <w:sz w:val="19"/>
                <w:szCs w:val="19"/>
              </w:rPr>
              <w:t xml:space="preserve">Host Organization</w:t>
            </w:r>
          </w:p>
        </w:tc>
        <w:tc>
          <w:tcPr>
            <w:tcBorders>
              <w:top w:val="single" w:color="E5EAF1" w:sz="4"/>
              <w:left w:val="single" w:color="E5EAF1" w:sz="4"/>
              <w:bottom w:val="single" w:color="E5EAF1" w:sz="4"/>
              <w:right w:val="single" w:color="E5EAF1" w:sz="4"/>
            </w:tcBorders>
            <w:shd w:fill="FFFFFF" w:val="clear"/>
            <w:tcMar>
              <w:top w:type="dxa" w:w="80"/>
              <w:left w:type="dxa" w:w="120"/>
              <w:bottom w:type="dxa" w:w="80"/>
              <w:right w:type="dxa" w:w="120"/>
            </w:tcMar>
          </w:tcPr>
          <w:p>
            <w:r>
              <w:rPr>
                <w:rFonts w:ascii="Inter" w:cs="Inter" w:eastAsia="Inter" w:hAnsi="Inter"/>
                <w:color w:val="334155"/>
                <w:sz w:val="19"/>
                <w:szCs w:val="19"/>
              </w:rPr>
              <w:t xml:space="preserve">All India Council for Technical Education (AICTE), Ministry of Education</w:t>
            </w:r>
          </w:p>
        </w:tc>
      </w:tr>
      <w:tr>
        <w:tc>
          <w:tcPr>
            <w:tcBorders>
              <w:top w:val="single" w:color="E5EAF1" w:sz="4"/>
              <w:left w:val="single" w:color="E5EAF1" w:sz="4"/>
              <w:bottom w:val="single" w:color="E5EAF1" w:sz="4"/>
              <w:right w:val="single" w:color="E5EAF1" w:sz="4"/>
            </w:tcBorders>
            <w:shd w:fill="F8FAFD" w:val="clear"/>
            <w:tcMar>
              <w:top w:type="dxa" w:w="80"/>
              <w:left w:type="dxa" w:w="120"/>
              <w:bottom w:type="dxa" w:w="80"/>
              <w:right w:type="dxa" w:w="120"/>
            </w:tcMar>
          </w:tcPr>
          <w:p>
            <w:r>
              <w:rPr>
                <w:rFonts w:ascii="Inter" w:cs="Inter" w:eastAsia="Inter" w:hAnsi="Inter"/>
                <w:b/>
                <w:bCs/>
                <w:color w:val="10233F"/>
                <w:sz w:val="19"/>
                <w:szCs w:val="19"/>
              </w:rPr>
              <w:t xml:space="preserve">Department</w:t>
            </w:r>
          </w:p>
        </w:tc>
        <w:tc>
          <w:tcPr>
            <w:tcBorders>
              <w:top w:val="single" w:color="E5EAF1" w:sz="4"/>
              <w:left w:val="single" w:color="E5EAF1" w:sz="4"/>
              <w:bottom w:val="single" w:color="E5EAF1" w:sz="4"/>
              <w:right w:val="single" w:color="E5EAF1" w:sz="4"/>
            </w:tcBorders>
            <w:shd w:fill="F8FAFD" w:val="clear"/>
            <w:tcMar>
              <w:top w:type="dxa" w:w="80"/>
              <w:left w:type="dxa" w:w="120"/>
              <w:bottom w:type="dxa" w:w="80"/>
              <w:right w:type="dxa" w:w="120"/>
            </w:tcMar>
          </w:tcPr>
          <w:p>
            <w:r>
              <w:rPr>
                <w:rFonts w:ascii="Inter" w:cs="Inter" w:eastAsia="Inter" w:hAnsi="Inter"/>
                <w:color w:val="334155"/>
                <w:sz w:val="19"/>
                <w:szCs w:val="19"/>
              </w:rPr>
              <w:t xml:space="preserve">Regulation Bureau</w:t>
            </w:r>
          </w:p>
        </w:tc>
      </w:tr>
      <w:tr>
        <w:tc>
          <w:tcPr>
            <w:tcBorders>
              <w:top w:val="single" w:color="E5EAF1" w:sz="4"/>
              <w:left w:val="single" w:color="E5EAF1" w:sz="4"/>
              <w:bottom w:val="single" w:color="E5EAF1" w:sz="4"/>
              <w:right w:val="single" w:color="E5EAF1" w:sz="4"/>
            </w:tcBorders>
            <w:shd w:fill="FFFFFF" w:val="clear"/>
            <w:tcMar>
              <w:top w:type="dxa" w:w="80"/>
              <w:left w:type="dxa" w:w="120"/>
              <w:bottom w:type="dxa" w:w="80"/>
              <w:right w:type="dxa" w:w="120"/>
            </w:tcMar>
          </w:tcPr>
          <w:p>
            <w:r>
              <w:rPr>
                <w:rFonts w:ascii="Inter" w:cs="Inter" w:eastAsia="Inter" w:hAnsi="Inter"/>
                <w:b/>
                <w:bCs/>
                <w:color w:val="10233F"/>
                <w:sz w:val="19"/>
                <w:szCs w:val="19"/>
              </w:rPr>
              <w:t xml:space="preserve">Competition &amp; Theme</w:t>
            </w:r>
          </w:p>
        </w:tc>
        <w:tc>
          <w:tcPr>
            <w:tcBorders>
              <w:top w:val="single" w:color="E5EAF1" w:sz="4"/>
              <w:left w:val="single" w:color="E5EAF1" w:sz="4"/>
              <w:bottom w:val="single" w:color="E5EAF1" w:sz="4"/>
              <w:right w:val="single" w:color="E5EAF1" w:sz="4"/>
            </w:tcBorders>
            <w:shd w:fill="FFFFFF" w:val="clear"/>
            <w:tcMar>
              <w:top w:type="dxa" w:w="80"/>
              <w:left w:type="dxa" w:w="120"/>
              <w:bottom w:type="dxa" w:w="80"/>
              <w:right w:type="dxa" w:w="120"/>
            </w:tcMar>
          </w:tcPr>
          <w:p>
            <w:r>
              <w:rPr>
                <w:rFonts w:ascii="Inter" w:cs="Inter" w:eastAsia="Inter" w:hAnsi="Inter"/>
                <w:color w:val="334155"/>
                <w:sz w:val="19"/>
                <w:szCs w:val="19"/>
              </w:rPr>
              <w:t xml:space="preserve">Smart India Hackathon (SIH 2026) | Smart Automation</w:t>
            </w:r>
          </w:p>
        </w:tc>
      </w:tr>
      <w:tr>
        <w:tc>
          <w:tcPr>
            <w:tcBorders>
              <w:top w:val="single" w:color="E5EAF1" w:sz="4"/>
              <w:left w:val="single" w:color="E5EAF1" w:sz="4"/>
              <w:bottom w:val="single" w:color="E5EAF1" w:sz="4"/>
              <w:right w:val="single" w:color="E5EAF1" w:sz="4"/>
            </w:tcBorders>
            <w:shd w:fill="F8FAFD" w:val="clear"/>
            <w:tcMar>
              <w:top w:type="dxa" w:w="80"/>
              <w:left w:type="dxa" w:w="120"/>
              <w:bottom w:type="dxa" w:w="80"/>
              <w:right w:type="dxa" w:w="120"/>
            </w:tcMar>
          </w:tcPr>
          <w:p>
            <w:r>
              <w:rPr>
                <w:rFonts w:ascii="Inter" w:cs="Inter" w:eastAsia="Inter" w:hAnsi="Inter"/>
                <w:b/>
                <w:bCs/>
                <w:color w:val="10233F"/>
                <w:sz w:val="19"/>
                <w:szCs w:val="19"/>
              </w:rPr>
              <w:t xml:space="preserve">Category</w:t>
            </w:r>
          </w:p>
        </w:tc>
        <w:tc>
          <w:tcPr>
            <w:tcBorders>
              <w:top w:val="single" w:color="E5EAF1" w:sz="4"/>
              <w:left w:val="single" w:color="E5EAF1" w:sz="4"/>
              <w:bottom w:val="single" w:color="E5EAF1" w:sz="4"/>
              <w:right w:val="single" w:color="E5EAF1" w:sz="4"/>
            </w:tcBorders>
            <w:shd w:fill="F8FAFD" w:val="clear"/>
            <w:tcMar>
              <w:top w:type="dxa" w:w="80"/>
              <w:left w:type="dxa" w:w="120"/>
              <w:bottom w:type="dxa" w:w="80"/>
              <w:right w:type="dxa" w:w="120"/>
            </w:tcMar>
          </w:tcPr>
          <w:p>
            <w:r>
              <w:rPr>
                <w:rFonts w:ascii="Inter" w:cs="Inter" w:eastAsia="Inter" w:hAnsi="Inter"/>
                <w:color w:val="334155"/>
                <w:sz w:val="19"/>
                <w:szCs w:val="19"/>
              </w:rPr>
              <w:t xml:space="preserve">Software (Enterprise Web &amp; Regulatory Systems)</w:t>
            </w:r>
          </w:p>
        </w:tc>
      </w:tr>
      <w:tr>
        <w:tc>
          <w:tcPr>
            <w:tcBorders>
              <w:top w:val="single" w:color="E5EAF1" w:sz="4"/>
              <w:left w:val="single" w:color="E5EAF1" w:sz="4"/>
              <w:bottom w:val="single" w:color="E5EAF1" w:sz="4"/>
              <w:right w:val="single" w:color="E5EAF1" w:sz="4"/>
            </w:tcBorders>
            <w:shd w:fill="FFFFFF" w:val="clear"/>
            <w:tcMar>
              <w:top w:type="dxa" w:w="80"/>
              <w:left w:type="dxa" w:w="120"/>
              <w:bottom w:type="dxa" w:w="80"/>
              <w:right w:type="dxa" w:w="120"/>
            </w:tcMar>
          </w:tcPr>
          <w:p>
            <w:r>
              <w:rPr>
                <w:rFonts w:ascii="Inter" w:cs="Inter" w:eastAsia="Inter" w:hAnsi="Inter"/>
                <w:b/>
                <w:bCs/>
                <w:color w:val="10233F"/>
                <w:sz w:val="19"/>
                <w:szCs w:val="19"/>
              </w:rPr>
              <w:t xml:space="preserve">Team Identity</w:t>
            </w:r>
          </w:p>
        </w:tc>
        <w:tc>
          <w:tcPr>
            <w:tcBorders>
              <w:top w:val="single" w:color="E5EAF1" w:sz="4"/>
              <w:left w:val="single" w:color="E5EAF1" w:sz="4"/>
              <w:bottom w:val="single" w:color="E5EAF1" w:sz="4"/>
              <w:right w:val="single" w:color="E5EAF1" w:sz="4"/>
            </w:tcBorders>
            <w:shd w:fill="FFFFFF" w:val="clear"/>
            <w:tcMar>
              <w:top w:type="dxa" w:w="80"/>
              <w:left w:type="dxa" w:w="120"/>
              <w:bottom w:type="dxa" w:w="80"/>
              <w:right w:type="dxa" w:w="120"/>
            </w:tcMar>
          </w:tcPr>
          <w:p>
            <w:r>
              <w:rPr>
                <w:rFonts w:ascii="Inter" w:cs="Inter" w:eastAsia="Inter" w:hAnsi="Inter"/>
                <w:color w:val="334155"/>
                <w:sz w:val="19"/>
                <w:szCs w:val="19"/>
              </w:rPr>
              <w:t xml:space="preserve">PROJECT CHAOS (Team ID: 197354)</w:t>
            </w:r>
          </w:p>
        </w:tc>
      </w:tr>
      <w:tr>
        <w:tc>
          <w:tcPr>
            <w:tcBorders>
              <w:top w:val="single" w:color="E5EAF1" w:sz="4"/>
              <w:left w:val="single" w:color="E5EAF1" w:sz="4"/>
              <w:bottom w:val="single" w:color="E5EAF1" w:sz="4"/>
              <w:right w:val="single" w:color="E5EAF1" w:sz="4"/>
            </w:tcBorders>
            <w:shd w:fill="F8FAFD" w:val="clear"/>
            <w:tcMar>
              <w:top w:type="dxa" w:w="80"/>
              <w:left w:type="dxa" w:w="120"/>
              <w:bottom w:type="dxa" w:w="80"/>
              <w:right w:type="dxa" w:w="120"/>
            </w:tcMar>
          </w:tcPr>
          <w:p>
            <w:r>
              <w:rPr>
                <w:rFonts w:ascii="Inter" w:cs="Inter" w:eastAsia="Inter" w:hAnsi="Inter"/>
                <w:b/>
                <w:bCs/>
                <w:color w:val="10233F"/>
                <w:sz w:val="19"/>
                <w:szCs w:val="19"/>
              </w:rPr>
              <w:t xml:space="preserve">Governing Regulatory Standard</w:t>
            </w:r>
          </w:p>
        </w:tc>
        <w:tc>
          <w:tcPr>
            <w:tcBorders>
              <w:top w:val="single" w:color="E5EAF1" w:sz="4"/>
              <w:left w:val="single" w:color="E5EAF1" w:sz="4"/>
              <w:bottom w:val="single" w:color="E5EAF1" w:sz="4"/>
              <w:right w:val="single" w:color="E5EAF1" w:sz="4"/>
            </w:tcBorders>
            <w:shd w:fill="F8FAFD" w:val="clear"/>
            <w:tcMar>
              <w:top w:type="dxa" w:w="80"/>
              <w:left w:type="dxa" w:w="120"/>
              <w:bottom w:type="dxa" w:w="80"/>
              <w:right w:type="dxa" w:w="120"/>
            </w:tcMar>
          </w:tcPr>
          <w:p>
            <w:r>
              <w:rPr>
                <w:rFonts w:ascii="Inter" w:cs="Inter" w:eastAsia="Inter" w:hAnsi="Inter"/>
                <w:color w:val="334155"/>
                <w:sz w:val="19"/>
                <w:szCs w:val="19"/>
              </w:rPr>
              <w:t xml:space="preserve">AICTE Approval Process Handbook (APH 2025–26)</w:t>
            </w:r>
          </w:p>
        </w:tc>
      </w:tr>
      <w:tr>
        <w:tc>
          <w:tcPr>
            <w:tcBorders>
              <w:top w:val="single" w:color="E5EAF1" w:sz="4"/>
              <w:left w:val="single" w:color="E5EAF1" w:sz="4"/>
              <w:bottom w:val="single" w:color="E5EAF1" w:sz="4"/>
              <w:right w:val="single" w:color="E5EAF1" w:sz="4"/>
            </w:tcBorders>
            <w:shd w:fill="FFFFFF" w:val="clear"/>
            <w:tcMar>
              <w:top w:type="dxa" w:w="80"/>
              <w:left w:type="dxa" w:w="120"/>
              <w:bottom w:type="dxa" w:w="80"/>
              <w:right w:type="dxa" w:w="120"/>
            </w:tcMar>
          </w:tcPr>
          <w:p>
            <w:r>
              <w:rPr>
                <w:rFonts w:ascii="Inter" w:cs="Inter" w:eastAsia="Inter" w:hAnsi="Inter"/>
                <w:b/>
                <w:bCs/>
                <w:color w:val="10233F"/>
                <w:sz w:val="19"/>
                <w:szCs w:val="19"/>
              </w:rPr>
              <w:t xml:space="preserve">Production Deployment URL</w:t>
            </w:r>
          </w:p>
        </w:tc>
        <w:tc>
          <w:tcPr>
            <w:tcBorders>
              <w:top w:val="single" w:color="E5EAF1" w:sz="4"/>
              <w:left w:val="single" w:color="E5EAF1" w:sz="4"/>
              <w:bottom w:val="single" w:color="E5EAF1" w:sz="4"/>
              <w:right w:val="single" w:color="E5EAF1" w:sz="4"/>
            </w:tcBorders>
            <w:shd w:fill="FFFFFF" w:val="clear"/>
            <w:tcMar>
              <w:top w:type="dxa" w:w="80"/>
              <w:left w:type="dxa" w:w="120"/>
              <w:bottom w:type="dxa" w:w="80"/>
              <w:right w:type="dxa" w:w="120"/>
            </w:tcMar>
          </w:tcPr>
          <w:p>
            <w:r>
              <w:rPr>
                <w:rFonts w:ascii="Inter" w:cs="Inter" w:eastAsia="Inter" w:hAnsi="Inter"/>
                <w:color w:val="334155"/>
                <w:sz w:val="19"/>
                <w:szCs w:val="19"/>
              </w:rPr>
              <w:t xml:space="preserve">https://niyam-ai-2-nu.vercel.app/</w:t>
            </w:r>
          </w:p>
        </w:tc>
      </w:tr>
      <w:tr>
        <w:tc>
          <w:tcPr>
            <w:tcBorders>
              <w:top w:val="single" w:color="E5EAF1" w:sz="4"/>
              <w:left w:val="single" w:color="E5EAF1" w:sz="4"/>
              <w:bottom w:val="single" w:color="E5EAF1" w:sz="4"/>
              <w:right w:val="single" w:color="E5EAF1" w:sz="4"/>
            </w:tcBorders>
            <w:shd w:fill="F8FAFD" w:val="clear"/>
            <w:tcMar>
              <w:top w:type="dxa" w:w="80"/>
              <w:left w:type="dxa" w:w="120"/>
              <w:bottom w:type="dxa" w:w="80"/>
              <w:right w:type="dxa" w:w="120"/>
            </w:tcMar>
          </w:tcPr>
          <w:p>
            <w:r>
              <w:rPr>
                <w:rFonts w:ascii="Inter" w:cs="Inter" w:eastAsia="Inter" w:hAnsi="Inter"/>
                <w:b/>
                <w:bCs/>
                <w:color w:val="10233F"/>
                <w:sz w:val="19"/>
                <w:szCs w:val="19"/>
              </w:rPr>
              <w:t xml:space="preserve">Open Source Repository</w:t>
            </w:r>
          </w:p>
        </w:tc>
        <w:tc>
          <w:tcPr>
            <w:tcBorders>
              <w:top w:val="single" w:color="E5EAF1" w:sz="4"/>
              <w:left w:val="single" w:color="E5EAF1" w:sz="4"/>
              <w:bottom w:val="single" w:color="E5EAF1" w:sz="4"/>
              <w:right w:val="single" w:color="E5EAF1" w:sz="4"/>
            </w:tcBorders>
            <w:shd w:fill="F8FAFD" w:val="clear"/>
            <w:tcMar>
              <w:top w:type="dxa" w:w="80"/>
              <w:left w:type="dxa" w:w="120"/>
              <w:bottom w:type="dxa" w:w="80"/>
              <w:right w:type="dxa" w:w="120"/>
            </w:tcMar>
          </w:tcPr>
          <w:p>
            <w:r>
              <w:rPr>
                <w:rFonts w:ascii="Inter" w:cs="Inter" w:eastAsia="Inter" w:hAnsi="Inter"/>
                <w:color w:val="334155"/>
                <w:sz w:val="19"/>
                <w:szCs w:val="19"/>
              </w:rPr>
              <w:t xml:space="preserve">https://github.com/SURIYAKUMARE/NIYAM-AI-2</w:t>
            </w:r>
          </w:p>
        </w:tc>
      </w:tr>
      <w:tr>
        <w:tc>
          <w:tcPr>
            <w:tcBorders>
              <w:top w:val="single" w:color="E5EAF1" w:sz="4"/>
              <w:left w:val="single" w:color="E5EAF1" w:sz="4"/>
              <w:bottom w:val="single" w:color="E5EAF1" w:sz="4"/>
              <w:right w:val="single" w:color="E5EAF1" w:sz="4"/>
            </w:tcBorders>
            <w:shd w:fill="FFFFFF" w:val="clear"/>
            <w:tcMar>
              <w:top w:type="dxa" w:w="80"/>
              <w:left w:type="dxa" w:w="120"/>
              <w:bottom w:type="dxa" w:w="80"/>
              <w:right w:type="dxa" w:w="120"/>
            </w:tcMar>
          </w:tcPr>
          <w:p>
            <w:r>
              <w:rPr>
                <w:rFonts w:ascii="Inter" w:cs="Inter" w:eastAsia="Inter" w:hAnsi="Inter"/>
                <w:b/>
                <w:bCs/>
                <w:color w:val="10233F"/>
                <w:sz w:val="19"/>
                <w:szCs w:val="19"/>
              </w:rPr>
              <w:t xml:space="preserve">Automated Test Rigor</w:t>
            </w:r>
          </w:p>
        </w:tc>
        <w:tc>
          <w:tcPr>
            <w:tcBorders>
              <w:top w:val="single" w:color="E5EAF1" w:sz="4"/>
              <w:left w:val="single" w:color="E5EAF1" w:sz="4"/>
              <w:bottom w:val="single" w:color="E5EAF1" w:sz="4"/>
              <w:right w:val="single" w:color="E5EAF1" w:sz="4"/>
            </w:tcBorders>
            <w:shd w:fill="FFFFFF" w:val="clear"/>
            <w:tcMar>
              <w:top w:type="dxa" w:w="80"/>
              <w:left w:type="dxa" w:w="120"/>
              <w:bottom w:type="dxa" w:w="80"/>
              <w:right w:type="dxa" w:w="120"/>
            </w:tcMar>
          </w:tcPr>
          <w:p>
            <w:r>
              <w:rPr>
                <w:rFonts w:ascii="Inter" w:cs="Inter" w:eastAsia="Inter" w:hAnsi="Inter"/>
                <w:color w:val="334155"/>
                <w:sz w:val="19"/>
                <w:szCs w:val="19"/>
              </w:rPr>
              <w:t xml:space="preserve">73 / 73 Integration &amp; Regulatory Test Suites Passing (100%)</w:t>
            </w:r>
          </w:p>
        </w:tc>
      </w:tr>
    </w:tbl>
    <w:p>
      <w:pPr>
        <w:spacing w:after="200"/>
      </w:pPr>
    </w:p>
    <w:p>
      <w:pPr>
        <w:pStyle w:val="Heading1"/>
        <w:spacing w:after="140" w:before="360"/>
      </w:pPr>
      <w:r>
        <w:rPr>
          <w:rFonts w:ascii="Inter" w:cs="Inter" w:eastAsia="Inter" w:hAnsi="Inter"/>
          <w:b/>
          <w:bCs/>
          <w:color w:val="10233F"/>
          <w:sz w:val="28"/>
          <w:szCs w:val="28"/>
        </w:rPr>
        <w:t xml:space="preserve">1. EXECUTIVE SUMMARY &amp; PROBLEM CONTEXT</w:t>
      </w:r>
    </w:p>
    <w:p>
      <w:pPr>
        <w:spacing w:after="100" w:before="60" w:line="280"/>
      </w:pPr>
      <w:r>
        <w:rPr>
          <w:rFonts w:ascii="Inter" w:cs="Inter" w:eastAsia="Inter" w:hAnsi="Inter"/>
          <w:b w:val="false"/>
          <w:bCs w:val="false"/>
          <w:i w:val="false"/>
          <w:iCs w:val="false"/>
          <w:color w:val="17243A"/>
          <w:sz w:val="21"/>
          <w:szCs w:val="21"/>
        </w:rPr>
        <w:t xml:space="preserve">The All India Council for Technical Education (AICTE), operating under the Ministry of Education, Government of India, is the apex statutory authority tasked with planning, formulation, and maintenance of norms and standards across India technical education ecosystem. AICTE jurisdiction covers over 10,480 approved institutions, including degree engineering colleges, management institutes, MCA programs, polytechnic institutions, and pharmacy departments across eight administrative regional directorates (Northern, Southern, Eastern, Western, Central, South-Western, North-Western, and South-Central).</w:t>
      </w:r>
    </w:p>
    <w:p>
      <w:pPr>
        <w:spacing w:after="100" w:before="60" w:line="280"/>
      </w:pPr>
      <w:r>
        <w:rPr>
          <w:rFonts w:ascii="Inter" w:cs="Inter" w:eastAsia="Inter" w:hAnsi="Inter"/>
          <w:b w:val="false"/>
          <w:bCs w:val="false"/>
          <w:i w:val="false"/>
          <w:iCs w:val="false"/>
          <w:color w:val="17243A"/>
          <w:sz w:val="21"/>
          <w:szCs w:val="21"/>
        </w:rPr>
        <w:t xml:space="preserve">Every academic year, these institutions must navigate the complex Extension of Approval (EoA) cycle, new program introductions, faculty cadre ratio validations, land non-encumbrance declarations, and statutory clearance renewals in strict accordance with the AICTE Approval Process Handbook (APH 2025–26).</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2457D6" w:sz="24"/>
              <w:bottom w:val="none"/>
              <w:right w:val="none"/>
            </w:tcBorders>
            <w:shd w:fill="F5F7FB" w:val="clear"/>
            <w:tcMar>
              <w:top w:type="dxa" w:w="120"/>
              <w:left w:type="dxa" w:w="160"/>
              <w:bottom w:type="dxa" w:w="120"/>
              <w:right w:type="dxa" w:w="160"/>
            </w:tcMar>
          </w:tcPr>
          <w:p>
            <w:pPr>
              <w:spacing w:after="40" w:before="0"/>
            </w:pPr>
            <w:r>
              <w:rPr>
                <w:rFonts w:ascii="Inter" w:cs="Inter" w:eastAsia="Inter" w:hAnsi="Inter"/>
                <w:b/>
                <w:bCs/>
                <w:color w:val="2457D6"/>
                <w:sz w:val="21"/>
                <w:szCs w:val="21"/>
              </w:rPr>
              <w:t xml:space="preserve">The Core Regulatory Challenge</w:t>
            </w:r>
          </w:p>
          <w:p>
            <w:pPr>
              <w:spacing w:after="0" w:before="0" w:line="260"/>
            </w:pPr>
            <w:r>
              <w:rPr>
                <w:rFonts w:ascii="Inter" w:cs="Inter" w:eastAsia="Inter" w:hAnsi="Inter"/>
                <w:color w:val="475569"/>
                <w:sz w:val="20"/>
                <w:szCs w:val="20"/>
              </w:rPr>
              <w:t xml:space="preserve">Technical education regulation currently suffers from episodic scrutiny, manual checklist bottlenecks across regional offices, vulnerability to fraudulent document tampering, acute alert fatigue among registrars, and communication silos during physical Expert Visit Committee (EVC) field inspections on remote campuses.</w:t>
            </w:r>
          </w:p>
        </w:tc>
      </w:tr>
    </w:tbl>
    <w:p>
      <w:pPr>
        <w:pStyle w:val="Heading2"/>
        <w:spacing w:after="100" w:before="260"/>
      </w:pPr>
      <w:r>
        <w:rPr>
          <w:rFonts w:ascii="Inter" w:cs="Inter" w:eastAsia="Inter" w:hAnsi="Inter"/>
          <w:b/>
          <w:bCs/>
          <w:color w:val="2457D6"/>
          <w:sz w:val="24"/>
          <w:szCs w:val="24"/>
        </w:rPr>
        <w:t xml:space="preserve">1.1 Deficiencies in Existing Regulatory Operations</w:t>
      </w:r>
    </w:p>
    <w:p>
      <w:pPr>
        <w:pStyle w:val="ListParagraph"/>
        <w:numPr>
          <w:ilvl w:val="0"/>
          <w:numId w:val="1"/>
        </w:numPr>
        <w:spacing w:after="60" w:before="40" w:line="260"/>
      </w:pPr>
      <w:r>
        <w:rPr>
          <w:rFonts w:ascii="Inter" w:cs="Inter" w:eastAsia="Inter" w:hAnsi="Inter"/>
          <w:b/>
          <w:bCs/>
          <w:color w:val="10233F"/>
          <w:sz w:val="21"/>
          <w:szCs w:val="21"/>
        </w:rPr>
        <w:t xml:space="preserve">Episodic vs Continuous Compliance: </w:t>
      </w:r>
      <w:r>
        <w:rPr>
          <w:rFonts w:ascii="Inter" w:cs="Inter" w:eastAsia="Inter" w:hAnsi="Inter"/>
          <w:color w:val="334155"/>
          <w:sz w:val="21"/>
          <w:szCs w:val="21"/>
        </w:rPr>
        <w:t xml:space="preserve">Current systems verify institutional evidence (such as Fire Safety NOCs or land leases) only once a year during initial filing. When certificates expire mid-academic year, AICTE remains unaware, resulting in severe student safety liabilities and regulatory defaults.</w:t>
      </w:r>
    </w:p>
    <w:p>
      <w:pPr>
        <w:pStyle w:val="ListParagraph"/>
        <w:numPr>
          <w:ilvl w:val="0"/>
          <w:numId w:val="1"/>
        </w:numPr>
        <w:spacing w:after="60" w:before="40" w:line="260"/>
      </w:pPr>
      <w:r>
        <w:rPr>
          <w:rFonts w:ascii="Inter" w:cs="Inter" w:eastAsia="Inter" w:hAnsi="Inter"/>
          <w:b/>
          <w:bCs/>
          <w:color w:val="10233F"/>
          <w:sz w:val="21"/>
          <w:szCs w:val="21"/>
        </w:rPr>
        <w:t xml:space="preserve">Manual Scrutiny Delays &amp; Discretionary Bottlenecks: </w:t>
      </w:r>
      <w:r>
        <w:rPr>
          <w:rFonts w:ascii="Inter" w:cs="Inter" w:eastAsia="Inter" w:hAnsi="Inter"/>
          <w:color w:val="334155"/>
          <w:sz w:val="21"/>
          <w:szCs w:val="21"/>
        </w:rPr>
        <w:t xml:space="preserve">Applications stall for weeks in regional queues because scrutiny officers must manually verify multi-clause criteria across hundreds of pages of scanned documents. Subjective interpretations of APH rules lead to unnecessary deficiency notices and disputes.</w:t>
      </w:r>
    </w:p>
    <w:p>
      <w:pPr>
        <w:pStyle w:val="ListParagraph"/>
        <w:numPr>
          <w:ilvl w:val="0"/>
          <w:numId w:val="1"/>
        </w:numPr>
        <w:spacing w:after="60" w:before="40" w:line="260"/>
      </w:pPr>
      <w:r>
        <w:rPr>
          <w:rFonts w:ascii="Inter" w:cs="Inter" w:eastAsia="Inter" w:hAnsi="Inter"/>
          <w:b/>
          <w:bCs/>
          <w:color w:val="10233F"/>
          <w:sz w:val="21"/>
          <w:szCs w:val="21"/>
        </w:rPr>
        <w:t xml:space="preserve">Vulnerability to Post-Facto Document Tampering: </w:t>
      </w:r>
      <w:r>
        <w:rPr>
          <w:rFonts w:ascii="Inter" w:cs="Inter" w:eastAsia="Inter" w:hAnsi="Inter"/>
          <w:color w:val="334155"/>
          <w:sz w:val="21"/>
          <w:szCs w:val="21"/>
        </w:rPr>
        <w:t xml:space="preserve">Conventional portals store arbitrary scanned PDFs without non-repudiation safeguards. If a document is modified, swapped, or backdated after submission, legacy audit logs lack the mathematical proof needed to substantiate vigilance proceedings.</w:t>
      </w:r>
    </w:p>
    <w:p>
      <w:pPr>
        <w:pStyle w:val="ListParagraph"/>
        <w:numPr>
          <w:ilvl w:val="0"/>
          <w:numId w:val="1"/>
        </w:numPr>
        <w:spacing w:after="60" w:before="40" w:line="260"/>
      </w:pPr>
      <w:r>
        <w:rPr>
          <w:rFonts w:ascii="Inter" w:cs="Inter" w:eastAsia="Inter" w:hAnsi="Inter"/>
          <w:b/>
          <w:bCs/>
          <w:color w:val="10233F"/>
          <w:sz w:val="21"/>
          <w:szCs w:val="21"/>
        </w:rPr>
        <w:t xml:space="preserve">Field Inspection Disconnect (The EVC Blindspot): </w:t>
      </w:r>
      <w:r>
        <w:rPr>
          <w:rFonts w:ascii="Inter" w:cs="Inter" w:eastAsia="Inter" w:hAnsi="Inter"/>
          <w:color w:val="334155"/>
          <w:sz w:val="21"/>
          <w:szCs w:val="21"/>
        </w:rPr>
        <w:t xml:space="preserve">Expert Visit Committees conducting physical evaluations at remote or rural campuses suffer from network dropouts. Notes and photographs recorded on personal devices are delayed or lost before central entry.</w:t>
      </w:r>
    </w:p>
    <w:p>
      <w:pPr>
        <w:pStyle w:val="ListParagraph"/>
        <w:numPr>
          <w:ilvl w:val="0"/>
          <w:numId w:val="1"/>
        </w:numPr>
        <w:spacing w:after="60" w:before="40" w:line="260"/>
      </w:pPr>
      <w:r>
        <w:rPr>
          <w:rFonts w:ascii="Inter" w:cs="Inter" w:eastAsia="Inter" w:hAnsi="Inter"/>
          <w:b/>
          <w:bCs/>
          <w:color w:val="10233F"/>
          <w:sz w:val="21"/>
          <w:szCs w:val="21"/>
        </w:rPr>
        <w:t xml:space="preserve">Notification Fatigue and Missed Regulatory Cutoffs: </w:t>
      </w:r>
      <w:r>
        <w:rPr>
          <w:rFonts w:ascii="Inter" w:cs="Inter" w:eastAsia="Inter" w:hAnsi="Inter"/>
          <w:color w:val="334155"/>
          <w:sz w:val="21"/>
          <w:szCs w:val="21"/>
        </w:rPr>
        <w:t xml:space="preserve">Institutions are inundated with generic broadcast emails, causing registrars to overlook critical deadlines for deficiency rectifications and compliance filings.</w:t>
      </w:r>
    </w:p>
    <w:p>
      <w:pPr>
        <w:pStyle w:val="Heading1"/>
        <w:spacing w:after="140" w:before="360"/>
      </w:pPr>
      <w:r>
        <w:rPr>
          <w:rFonts w:ascii="Inter" w:cs="Inter" w:eastAsia="Inter" w:hAnsi="Inter"/>
          <w:b/>
          <w:bCs/>
          <w:color w:val="10233F"/>
          <w:sz w:val="28"/>
          <w:szCs w:val="28"/>
        </w:rPr>
        <w:t xml:space="preserve">2. THE NIYAM PARADIGM: CORE IDEA &amp; PHILOSOPHY</w:t>
      </w:r>
    </w:p>
    <w:p>
      <w:pPr>
        <w:spacing w:after="100" w:before="60" w:line="280"/>
      </w:pPr>
      <w:r>
        <w:rPr>
          <w:rFonts w:ascii="Inter" w:cs="Inter" w:eastAsia="Inter" w:hAnsi="Inter"/>
          <w:b w:val="false"/>
          <w:bCs w:val="false"/>
          <w:i w:val="false"/>
          <w:iCs w:val="false"/>
          <w:color w:val="17243A"/>
          <w:sz w:val="21"/>
          <w:szCs w:val="21"/>
        </w:rPr>
        <w:t xml:space="preserve">NIYAM (Next-Generation Intelligent AICTE Monitoring and Approval Network) reconceptualizes technical education regulation. Rather than treating annual approval as an episodic bureaucratic submission, NIYAM establishes a continuous, cryptographically verified, and self-monitoring digital trust network.</w:t>
      </w:r>
    </w:p>
    <w:p>
      <w:pPr>
        <w:spacing w:after="100" w:before="60" w:line="280"/>
      </w:pPr>
      <w:r>
        <w:rPr>
          <w:rFonts w:ascii="Inter" w:cs="Inter" w:eastAsia="Inter" w:hAnsi="Inter"/>
          <w:b w:val="false"/>
          <w:bCs w:val="false"/>
          <w:i w:val="false"/>
          <w:iCs w:val="false"/>
          <w:color w:val="17243A"/>
          <w:sz w:val="21"/>
          <w:szCs w:val="21"/>
        </w:rPr>
        <w:t xml:space="preserve">The foundational philosophy of NIYAM is grounded in three principles:</w:t>
      </w:r>
    </w:p>
    <w:p>
      <w:pPr>
        <w:pStyle w:val="ListParagraph"/>
        <w:numPr>
          <w:ilvl w:val="0"/>
          <w:numId w:val="1"/>
        </w:numPr>
        <w:spacing w:after="60" w:before="40" w:line="260"/>
      </w:pPr>
      <w:r>
        <w:rPr>
          <w:rFonts w:ascii="Inter" w:cs="Inter" w:eastAsia="Inter" w:hAnsi="Inter"/>
          <w:b/>
          <w:bCs/>
          <w:color w:val="10233F"/>
          <w:sz w:val="21"/>
          <w:szCs w:val="21"/>
        </w:rPr>
        <w:t xml:space="preserve">1. Continuous Dynamic Watchdog: </w:t>
      </w:r>
      <w:r>
        <w:rPr>
          <w:rFonts w:ascii="Inter" w:cs="Inter" w:eastAsia="Inter" w:hAnsi="Inter"/>
          <w:color w:val="334155"/>
          <w:sz w:val="21"/>
          <w:szCs w:val="21"/>
        </w:rPr>
        <w:t xml:space="preserve">Regulatory compliance is an active, ongoing operational state. Safety clearances, student-faculty cadre ratios, and leaseholds are continuously monitored against time horizons with automated proactive alerts.</w:t>
      </w:r>
    </w:p>
    <w:p>
      <w:pPr>
        <w:pStyle w:val="ListParagraph"/>
        <w:numPr>
          <w:ilvl w:val="0"/>
          <w:numId w:val="1"/>
        </w:numPr>
        <w:spacing w:after="60" w:before="40" w:line="260"/>
      </w:pPr>
      <w:r>
        <w:rPr>
          <w:rFonts w:ascii="Inter" w:cs="Inter" w:eastAsia="Inter" w:hAnsi="Inter"/>
          <w:b/>
          <w:bCs/>
          <w:color w:val="10233F"/>
          <w:sz w:val="21"/>
          <w:szCs w:val="21"/>
        </w:rPr>
        <w:t xml:space="preserve">2. Mathematical Non-Repudiation: </w:t>
      </w:r>
      <w:r>
        <w:rPr>
          <w:rFonts w:ascii="Inter" w:cs="Inter" w:eastAsia="Inter" w:hAnsi="Inter"/>
          <w:color w:val="334155"/>
          <w:sz w:val="21"/>
          <w:szCs w:val="21"/>
        </w:rPr>
        <w:t xml:space="preserve">Trust is engineered mathematically. Every document, affidavit, and inspection finding is cryptographically digested and forward-chained to guarantee an immutable historical ledger.</w:t>
      </w:r>
    </w:p>
    <w:p>
      <w:pPr>
        <w:pStyle w:val="ListParagraph"/>
        <w:numPr>
          <w:ilvl w:val="0"/>
          <w:numId w:val="1"/>
        </w:numPr>
        <w:spacing w:after="60" w:before="40" w:line="260"/>
      </w:pPr>
      <w:r>
        <w:rPr>
          <w:rFonts w:ascii="Inter" w:cs="Inter" w:eastAsia="Inter" w:hAnsi="Inter"/>
          <w:b/>
          <w:bCs/>
          <w:color w:val="10233F"/>
          <w:sz w:val="21"/>
          <w:szCs w:val="21"/>
        </w:rPr>
        <w:t xml:space="preserve">3. Zero Discretion Workflow Automation: </w:t>
      </w:r>
      <w:r>
        <w:rPr>
          <w:rFonts w:ascii="Inter" w:cs="Inter" w:eastAsia="Inter" w:hAnsi="Inter"/>
          <w:color w:val="334155"/>
          <w:sz w:val="21"/>
          <w:szCs w:val="21"/>
        </w:rPr>
        <w:t xml:space="preserve">Application progression is governed strictly by a deterministic finite state machine where deficiency resolution is mathematically required prior to committee escalations.</w:t>
      </w:r>
    </w:p>
    <w:p>
      <w:pPr>
        <w:pStyle w:val="Heading1"/>
        <w:spacing w:after="140" w:before="360"/>
      </w:pPr>
      <w:r>
        <w:rPr>
          <w:rFonts w:ascii="Inter" w:cs="Inter" w:eastAsia="Inter" w:hAnsi="Inter"/>
          <w:b/>
          <w:bCs/>
          <w:color w:val="10233F"/>
          <w:sz w:val="28"/>
          <w:szCs w:val="28"/>
        </w:rPr>
        <w:t xml:space="preserve">3. THE SEVEN ARCHITECTURAL PILLARS OF NIYAM</w:t>
      </w:r>
    </w:p>
    <w:p>
      <w:pPr>
        <w:pStyle w:val="Heading2"/>
        <w:spacing w:after="100" w:before="260"/>
      </w:pPr>
      <w:r>
        <w:rPr>
          <w:rFonts w:ascii="Inter" w:cs="Inter" w:eastAsia="Inter" w:hAnsi="Inter"/>
          <w:b/>
          <w:bCs/>
          <w:color w:val="2457D6"/>
          <w:sz w:val="24"/>
          <w:szCs w:val="24"/>
        </w:rPr>
        <w:t xml:space="preserve">Pillar I: Deterministic 7-Stage State Machine with Deficiency Gating</w:t>
      </w:r>
    </w:p>
    <w:p>
      <w:pPr>
        <w:spacing w:after="100" w:before="60" w:line="280"/>
      </w:pPr>
      <w:r>
        <w:rPr>
          <w:rFonts w:ascii="Inter" w:cs="Inter" w:eastAsia="Inter" w:hAnsi="Inter"/>
          <w:b w:val="false"/>
          <w:bCs w:val="false"/>
          <w:i w:val="false"/>
          <w:iCs w:val="false"/>
          <w:color w:val="17243A"/>
          <w:sz w:val="21"/>
          <w:szCs w:val="21"/>
        </w:rPr>
        <w:t xml:space="preserve">NIYAM models the entire institutional approval journey as a mathematical finite state machine:</w:t>
      </w:r>
    </w:p>
    <w:p>
      <w:pPr>
        <w:spacing w:after="100" w:before="60" w:line="280"/>
      </w:pPr>
      <w:r>
        <w:rPr>
          <w:rFonts w:ascii="Inter" w:cs="Inter" w:eastAsia="Inter" w:hAnsi="Inter"/>
          <w:b/>
          <w:bCs/>
          <w:i w:val="false"/>
          <w:iCs w:val="false"/>
          <w:color w:val="2457D6"/>
          <w:sz w:val="21"/>
          <w:szCs w:val="21"/>
        </w:rPr>
        <w:t xml:space="preserve">DRAFT → SUBMITTED → SCRUTINY → EVC → SAC → EC_APPROVED / REJECTED</w:t>
      </w:r>
    </w:p>
    <w:p>
      <w:pPr>
        <w:spacing w:after="100" w:before="60" w:line="280"/>
      </w:pPr>
      <w:r>
        <w:rPr>
          <w:rFonts w:ascii="Inter" w:cs="Inter" w:eastAsia="Inter" w:hAnsi="Inter"/>
          <w:b w:val="false"/>
          <w:bCs w:val="false"/>
          <w:i w:val="false"/>
          <w:iCs w:val="false"/>
          <w:color w:val="17243A"/>
          <w:sz w:val="21"/>
          <w:szCs w:val="21"/>
        </w:rPr>
        <w:t xml:space="preserve">Forward progression is controlled by strict guard conditions:</w:t>
      </w:r>
    </w:p>
    <w:p>
      <w:pPr>
        <w:pStyle w:val="ListParagraph"/>
        <w:numPr>
          <w:ilvl w:val="0"/>
          <w:numId w:val="1"/>
        </w:numPr>
        <w:spacing w:after="60" w:before="40" w:line="260"/>
      </w:pPr>
      <w:r>
        <w:rPr>
          <w:rFonts w:ascii="Inter" w:cs="Inter" w:eastAsia="Inter" w:hAnsi="Inter"/>
          <w:b/>
          <w:bCs/>
          <w:color w:val="10233F"/>
          <w:sz w:val="21"/>
          <w:szCs w:val="21"/>
        </w:rPr>
        <w:t xml:space="preserve">Automated Deficiency Gating: </w:t>
      </w:r>
      <w:r>
        <w:rPr>
          <w:rFonts w:ascii="Inter" w:cs="Inter" w:eastAsia="Inter" w:hAnsi="Inter"/>
          <w:color w:val="334155"/>
          <w:sz w:val="21"/>
          <w:szCs w:val="21"/>
        </w:rPr>
        <w:t xml:space="preserve">If mandatory proofs (Fire NOC, Land Title, Building Plan, Cadre Ratio) are deficient, the system blocks transition to EVC or SAC and automatically issues a structured deficiency brief citing the exact APH clause.</w:t>
      </w:r>
    </w:p>
    <w:p>
      <w:pPr>
        <w:pStyle w:val="ListParagraph"/>
        <w:numPr>
          <w:ilvl w:val="0"/>
          <w:numId w:val="1"/>
        </w:numPr>
        <w:spacing w:after="60" w:before="40" w:line="260"/>
      </w:pPr>
      <w:r>
        <w:rPr>
          <w:rFonts w:ascii="Inter" w:cs="Inter" w:eastAsia="Inter" w:hAnsi="Inter"/>
          <w:b/>
          <w:bCs/>
          <w:color w:val="10233F"/>
          <w:sz w:val="21"/>
          <w:szCs w:val="21"/>
        </w:rPr>
        <w:t xml:space="preserve">Administrative Holds: </w:t>
      </w:r>
      <w:r>
        <w:rPr>
          <w:rFonts w:ascii="Inter" w:cs="Inter" w:eastAsia="Inter" w:hAnsi="Inter"/>
          <w:color w:val="334155"/>
          <w:sz w:val="21"/>
          <w:szCs w:val="21"/>
        </w:rPr>
        <w:t xml:space="preserve">Competent authorities can impose an administrative freeze with cryptographic audit stamping, preventing unauthorized movement while vigilance inquiries are active.</w:t>
      </w:r>
    </w:p>
    <w:p>
      <w:pPr>
        <w:pStyle w:val="ListParagraph"/>
        <w:numPr>
          <w:ilvl w:val="0"/>
          <w:numId w:val="1"/>
        </w:numPr>
        <w:spacing w:after="60" w:before="40" w:line="260"/>
      </w:pPr>
      <w:r>
        <w:rPr>
          <w:rFonts w:ascii="Inter" w:cs="Inter" w:eastAsia="Inter" w:hAnsi="Inter"/>
          <w:b/>
          <w:bCs/>
          <w:color w:val="10233F"/>
          <w:sz w:val="21"/>
          <w:szCs w:val="21"/>
        </w:rPr>
        <w:t xml:space="preserve">Illegal Jump Prevention: </w:t>
      </w:r>
      <w:r>
        <w:rPr>
          <w:rFonts w:ascii="Inter" w:cs="Inter" w:eastAsia="Inter" w:hAnsi="Inter"/>
          <w:color w:val="334155"/>
          <w:sz w:val="21"/>
          <w:szCs w:val="21"/>
        </w:rPr>
        <w:t xml:space="preserve">Database-level constraints guarantee that no application can jump from DRAFT to APPROVED or bypass regional scrutiny, eliminating administrative discretion.</w:t>
      </w:r>
    </w:p>
    <w:p>
      <w:pPr>
        <w:pStyle w:val="Heading2"/>
        <w:spacing w:after="100" w:before="260"/>
      </w:pPr>
      <w:r>
        <w:rPr>
          <w:rFonts w:ascii="Inter" w:cs="Inter" w:eastAsia="Inter" w:hAnsi="Inter"/>
          <w:b/>
          <w:bCs/>
          <w:color w:val="2457D6"/>
          <w:sz w:val="24"/>
          <w:szCs w:val="24"/>
        </w:rPr>
        <w:t xml:space="preserve">Pillar II: Autonomous Statutory Validity Desk &amp; Expiry Radar</w:t>
      </w:r>
    </w:p>
    <w:p>
      <w:pPr>
        <w:spacing w:after="100" w:before="60" w:line="280"/>
      </w:pPr>
      <w:r>
        <w:rPr>
          <w:rFonts w:ascii="Inter" w:cs="Inter" w:eastAsia="Inter" w:hAnsi="Inter"/>
          <w:b w:val="false"/>
          <w:bCs w:val="false"/>
          <w:i w:val="false"/>
          <w:iCs w:val="false"/>
          <w:color w:val="17243A"/>
          <w:sz w:val="21"/>
          <w:szCs w:val="21"/>
        </w:rPr>
        <w:t xml:space="preserve">NIYAM provides every approved institution with an active Statutory Validity Desk. Mandatory certificates are tracked with dynamic remaining-day countdowns:</w:t>
      </w:r>
    </w:p>
    <w:p>
      <w:pPr>
        <w:pStyle w:val="ListParagraph"/>
        <w:numPr>
          <w:ilvl w:val="0"/>
          <w:numId w:val="1"/>
        </w:numPr>
        <w:spacing w:after="60" w:before="40" w:line="260"/>
      </w:pPr>
      <w:r>
        <w:rPr>
          <w:rFonts w:ascii="Inter" w:cs="Inter" w:eastAsia="Inter" w:hAnsi="Inter"/>
          <w:b/>
          <w:bCs/>
          <w:color w:val="10233F"/>
          <w:sz w:val="21"/>
          <w:szCs w:val="21"/>
        </w:rPr>
        <w:t xml:space="preserve">Tracked Statutory Certificates: </w:t>
      </w:r>
      <w:r>
        <w:rPr>
          <w:rFonts w:ascii="Inter" w:cs="Inter" w:eastAsia="Inter" w:hAnsi="Inter"/>
          <w:color w:val="334155"/>
          <w:sz w:val="21"/>
          <w:szCs w:val="21"/>
        </w:rPr>
        <w:t xml:space="preserve">District Fire Safety Clearance NOC, Land Title 99-Year Leasehold Deed, DTCP Building Sanction Plan, University Affiliation Order, Anti-Ragging Undertakings, and Faculty Cadre Ratios (1:15 / 1:20).</w:t>
      </w:r>
    </w:p>
    <w:p>
      <w:pPr>
        <w:pStyle w:val="ListParagraph"/>
        <w:numPr>
          <w:ilvl w:val="0"/>
          <w:numId w:val="1"/>
        </w:numPr>
        <w:spacing w:after="60" w:before="40" w:line="260"/>
      </w:pPr>
      <w:r>
        <w:rPr>
          <w:rFonts w:ascii="Inter" w:cs="Inter" w:eastAsia="Inter" w:hAnsi="Inter"/>
          <w:b/>
          <w:bCs/>
          <w:color w:val="10233F"/>
          <w:sz w:val="21"/>
          <w:szCs w:val="21"/>
        </w:rPr>
        <w:t xml:space="preserve">Multi-Tier Expiry Radar: </w:t>
      </w:r>
      <w:r>
        <w:rPr>
          <w:rFonts w:ascii="Inter" w:cs="Inter" w:eastAsia="Inter" w:hAnsi="Inter"/>
          <w:color w:val="334155"/>
          <w:sz w:val="21"/>
          <w:szCs w:val="21"/>
        </w:rPr>
        <w:t xml:space="preserve">The engine triggers automated, deduplicated notifications at 60-day (advisory), 45-day (urgent), and 30-day (statutory default warning) intervals, notifying both the College Registrar and Regional Scrutiny Officer.</w:t>
      </w:r>
    </w:p>
    <w:p>
      <w:pPr>
        <w:pStyle w:val="Heading2"/>
        <w:spacing w:after="100" w:before="260"/>
      </w:pPr>
      <w:r>
        <w:rPr>
          <w:rFonts w:ascii="Inter" w:cs="Inter" w:eastAsia="Inter" w:hAnsi="Inter"/>
          <w:b/>
          <w:bCs/>
          <w:color w:val="2457D6"/>
          <w:sz w:val="24"/>
          <w:szCs w:val="24"/>
        </w:rPr>
        <w:t xml:space="preserve">Pillar III: Zero-Trust Cryptographic Document Provenance</w:t>
      </w:r>
    </w:p>
    <w:p>
      <w:pPr>
        <w:spacing w:after="100" w:before="60" w:line="280"/>
      </w:pPr>
      <w:r>
        <w:rPr>
          <w:rFonts w:ascii="Inter" w:cs="Inter" w:eastAsia="Inter" w:hAnsi="Inter"/>
          <w:b w:val="false"/>
          <w:bCs w:val="false"/>
          <w:i w:val="false"/>
          <w:iCs w:val="false"/>
          <w:color w:val="17243A"/>
          <w:sz w:val="21"/>
          <w:szCs w:val="21"/>
        </w:rPr>
        <w:t xml:space="preserve">To ensure absolute data integrity without relying on fragile server-side guarantees, NIYAM implements client-side cryptographic hashing:</w:t>
      </w:r>
    </w:p>
    <w:p>
      <w:pPr>
        <w:pStyle w:val="ListParagraph"/>
        <w:numPr>
          <w:ilvl w:val="0"/>
          <w:numId w:val="1"/>
        </w:numPr>
        <w:spacing w:after="60" w:before="40" w:line="260"/>
      </w:pPr>
      <w:r>
        <w:rPr>
          <w:rFonts w:ascii="Inter" w:cs="Inter" w:eastAsia="Inter" w:hAnsi="Inter"/>
          <w:b/>
          <w:bCs/>
          <w:color w:val="10233F"/>
          <w:sz w:val="21"/>
          <w:szCs w:val="21"/>
        </w:rPr>
        <w:t xml:space="preserve">Web Crypto SHA-256 Digestion: </w:t>
      </w:r>
      <w:r>
        <w:rPr>
          <w:rFonts w:ascii="Inter" w:cs="Inter" w:eastAsia="Inter" w:hAnsi="Inter"/>
          <w:color w:val="334155"/>
          <w:sz w:val="21"/>
          <w:szCs w:val="21"/>
        </w:rPr>
        <w:t xml:space="preserve">The moment an institution selects a document, the browser digests the file locally using the native Web Cryptography API (crypto.subtle.digest). The resulting 64-character hash is displayed instantly with one-click clipboard copying.</w:t>
      </w:r>
    </w:p>
    <w:p>
      <w:pPr>
        <w:pStyle w:val="ListParagraph"/>
        <w:numPr>
          <w:ilvl w:val="0"/>
          <w:numId w:val="1"/>
        </w:numPr>
        <w:spacing w:after="60" w:before="40" w:line="260"/>
      </w:pPr>
      <w:r>
        <w:rPr>
          <w:rFonts w:ascii="Inter" w:cs="Inter" w:eastAsia="Inter" w:hAnsi="Inter"/>
          <w:b/>
          <w:bCs/>
          <w:color w:val="10233F"/>
          <w:sz w:val="21"/>
          <w:szCs w:val="21"/>
        </w:rPr>
        <w:t xml:space="preserve">Chained Non-Repudiation Audit Ledger: </w:t>
      </w:r>
      <w:r>
        <w:rPr>
          <w:rFonts w:ascii="Inter" w:cs="Inter" w:eastAsia="Inter" w:hAnsi="Inter"/>
          <w:color w:val="334155"/>
          <w:sz w:val="21"/>
          <w:szCs w:val="21"/>
        </w:rPr>
        <w:t xml:space="preserve">Every transaction records the hash of the preceding event, creating a tamper-evident blockchain-equivalent log. If an attacker tampers with a historical database record or swaps an uploaded PDF, the mathematical chain verification immediately fails.</w:t>
      </w:r>
    </w:p>
    <w:p>
      <w:pPr>
        <w:pStyle w:val="Heading2"/>
        <w:spacing w:after="100" w:before="260"/>
      </w:pPr>
      <w:r>
        <w:rPr>
          <w:rFonts w:ascii="Inter" w:cs="Inter" w:eastAsia="Inter" w:hAnsi="Inter"/>
          <w:b/>
          <w:bCs/>
          <w:color w:val="2457D6"/>
          <w:sz w:val="24"/>
          <w:szCs w:val="24"/>
        </w:rPr>
        <w:t xml:space="preserve">Pillar IV: Offline-Resilient EVC Field Inspection Docket</w:t>
      </w:r>
    </w:p>
    <w:p>
      <w:pPr>
        <w:spacing w:after="100" w:before="60" w:line="280"/>
      </w:pPr>
      <w:r>
        <w:rPr>
          <w:rFonts w:ascii="Inter" w:cs="Inter" w:eastAsia="Inter" w:hAnsi="Inter"/>
          <w:b w:val="false"/>
          <w:bCs w:val="false"/>
          <w:i w:val="false"/>
          <w:iCs w:val="false"/>
          <w:color w:val="17243A"/>
          <w:sz w:val="21"/>
          <w:szCs w:val="21"/>
        </w:rPr>
        <w:t xml:space="preserve">Physical campus inspections by Expert Visit Committees (EVC) are fortified with offline architecture:</w:t>
      </w:r>
    </w:p>
    <w:p>
      <w:pPr>
        <w:pStyle w:val="ListParagraph"/>
        <w:numPr>
          <w:ilvl w:val="0"/>
          <w:numId w:val="1"/>
        </w:numPr>
        <w:spacing w:after="60" w:before="40" w:line="260"/>
      </w:pPr>
      <w:r>
        <w:rPr>
          <w:rFonts w:ascii="Inter" w:cs="Inter" w:eastAsia="Inter" w:hAnsi="Inter"/>
          <w:b/>
          <w:bCs/>
          <w:color w:val="10233F"/>
          <w:sz w:val="21"/>
          <w:szCs w:val="21"/>
        </w:rPr>
        <w:t xml:space="preserve">Offline Mobile Docket: </w:t>
      </w:r>
      <w:r>
        <w:rPr>
          <w:rFonts w:ascii="Inter" w:cs="Inter" w:eastAsia="Inter" w:hAnsi="Inter"/>
          <w:color w:val="334155"/>
          <w:sz w:val="21"/>
          <w:szCs w:val="21"/>
        </w:rPr>
        <w:t xml:space="preserve">Inspectors record geotagged infrastructure observations, laboratory equipment verification, and built-up area measurements without internet connectivity.</w:t>
      </w:r>
    </w:p>
    <w:p>
      <w:pPr>
        <w:pStyle w:val="ListParagraph"/>
        <w:numPr>
          <w:ilvl w:val="0"/>
          <w:numId w:val="1"/>
        </w:numPr>
        <w:spacing w:after="60" w:before="40" w:line="260"/>
      </w:pPr>
      <w:r>
        <w:rPr>
          <w:rFonts w:ascii="Inter" w:cs="Inter" w:eastAsia="Inter" w:hAnsi="Inter"/>
          <w:b/>
          <w:bCs/>
          <w:color w:val="10233F"/>
          <w:sz w:val="21"/>
          <w:szCs w:val="21"/>
        </w:rPr>
        <w:t xml:space="preserve">Cryptographic Field Manifest: </w:t>
      </w:r>
      <w:r>
        <w:rPr>
          <w:rFonts w:ascii="Inter" w:cs="Inter" w:eastAsia="Inter" w:hAnsi="Inter"/>
          <w:color w:val="334155"/>
          <w:sz w:val="21"/>
          <w:szCs w:val="21"/>
        </w:rPr>
        <w:t xml:space="preserve">The local docket compiles a signed manifest with an offline SHA-256 checksum. Upon regaining connectivity, the docket reconciles automatically with the central AICTE registry.</w:t>
      </w:r>
    </w:p>
    <w:p>
      <w:pPr>
        <w:pStyle w:val="Heading2"/>
        <w:spacing w:after="100" w:before="260"/>
      </w:pPr>
      <w:r>
        <w:rPr>
          <w:rFonts w:ascii="Inter" w:cs="Inter" w:eastAsia="Inter" w:hAnsi="Inter"/>
          <w:b/>
          <w:bCs/>
          <w:color w:val="2457D6"/>
          <w:sz w:val="24"/>
          <w:szCs w:val="24"/>
        </w:rPr>
        <w:t xml:space="preserve">Pillar V: Grounded APH 2025–26 Regulatory AI Copilot</w:t>
      </w:r>
    </w:p>
    <w:p>
      <w:pPr>
        <w:spacing w:after="100" w:before="60" w:line="280"/>
      </w:pPr>
      <w:r>
        <w:rPr>
          <w:rFonts w:ascii="Inter" w:cs="Inter" w:eastAsia="Inter" w:hAnsi="Inter"/>
          <w:b w:val="false"/>
          <w:bCs w:val="false"/>
          <w:i w:val="false"/>
          <w:iCs w:val="false"/>
          <w:color w:val="17243A"/>
          <w:sz w:val="21"/>
          <w:szCs w:val="21"/>
        </w:rPr>
        <w:t xml:space="preserve">Navigating the hundreds of pages of the AICTE Approval Process Handbook is automated via an intelligent AI assistant:</w:t>
      </w:r>
    </w:p>
    <w:p>
      <w:pPr>
        <w:pStyle w:val="ListParagraph"/>
        <w:numPr>
          <w:ilvl w:val="0"/>
          <w:numId w:val="1"/>
        </w:numPr>
        <w:spacing w:after="60" w:before="40" w:line="260"/>
      </w:pPr>
      <w:r>
        <w:rPr>
          <w:rFonts w:ascii="Inter" w:cs="Inter" w:eastAsia="Inter" w:hAnsi="Inter"/>
          <w:b/>
          <w:bCs/>
          <w:color w:val="10233F"/>
          <w:sz w:val="21"/>
          <w:szCs w:val="21"/>
        </w:rPr>
        <w:t xml:space="preserve">Clause-Grounded Guidance: </w:t>
      </w:r>
      <w:r>
        <w:rPr>
          <w:rFonts w:ascii="Inter" w:cs="Inter" w:eastAsia="Inter" w:hAnsi="Inter"/>
          <w:color w:val="334155"/>
          <w:sz w:val="21"/>
          <w:szCs w:val="21"/>
        </w:rPr>
        <w:t xml:space="preserve">The AI Copilot answers complex institutional queries with verbatim chapter and clause citations (e.g., APH Ch. II Clause 4.3).</w:t>
      </w:r>
    </w:p>
    <w:p>
      <w:pPr>
        <w:pStyle w:val="ListParagraph"/>
        <w:numPr>
          <w:ilvl w:val="0"/>
          <w:numId w:val="1"/>
        </w:numPr>
        <w:spacing w:after="60" w:before="40" w:line="260"/>
      </w:pPr>
      <w:r>
        <w:rPr>
          <w:rFonts w:ascii="Inter" w:cs="Inter" w:eastAsia="Inter" w:hAnsi="Inter"/>
          <w:b/>
          <w:bCs/>
          <w:color w:val="10233F"/>
          <w:sz w:val="21"/>
          <w:szCs w:val="21"/>
        </w:rPr>
        <w:t xml:space="preserve">Smart Clarification Generator: </w:t>
      </w:r>
      <w:r>
        <w:rPr>
          <w:rFonts w:ascii="Inter" w:cs="Inter" w:eastAsia="Inter" w:hAnsi="Inter"/>
          <w:color w:val="334155"/>
          <w:sz w:val="21"/>
          <w:szCs w:val="21"/>
        </w:rPr>
        <w:t xml:space="preserve">Transforms technical deficiency notices into plain-language instructions for colleges, drastically reducing clarification turnaround times.</w:t>
      </w:r>
    </w:p>
    <w:p>
      <w:pPr>
        <w:pStyle w:val="Heading2"/>
        <w:spacing w:after="100" w:before="260"/>
      </w:pPr>
      <w:r>
        <w:rPr>
          <w:rFonts w:ascii="Inter" w:cs="Inter" w:eastAsia="Inter" w:hAnsi="Inter"/>
          <w:b/>
          <w:bCs/>
          <w:color w:val="2457D6"/>
          <w:sz w:val="24"/>
          <w:szCs w:val="24"/>
        </w:rPr>
        <w:t xml:space="preserve">Pillar VI: Strict Least-Privilege Multi-Tier RBAC</w:t>
      </w:r>
    </w:p>
    <w:p>
      <w:pPr>
        <w:spacing w:after="100" w:before="60" w:line="280"/>
      </w:pPr>
      <w:r>
        <w:rPr>
          <w:rFonts w:ascii="Inter" w:cs="Inter" w:eastAsia="Inter" w:hAnsi="Inter"/>
          <w:b w:val="false"/>
          <w:bCs w:val="false"/>
          <w:i w:val="false"/>
          <w:iCs w:val="false"/>
          <w:color w:val="17243A"/>
          <w:sz w:val="21"/>
          <w:szCs w:val="21"/>
        </w:rPr>
        <w:t xml:space="preserve">Role-Based Access Control is enforced rigidly across frontend and backend:</w:t>
      </w:r>
    </w:p>
    <w:p>
      <w:pPr>
        <w:pStyle w:val="ListParagraph"/>
        <w:numPr>
          <w:ilvl w:val="0"/>
          <w:numId w:val="1"/>
        </w:numPr>
        <w:spacing w:after="60" w:before="40" w:line="260"/>
      </w:pPr>
      <w:r>
        <w:rPr>
          <w:rFonts w:ascii="Inter" w:cs="Inter" w:eastAsia="Inter" w:hAnsi="Inter"/>
          <w:b/>
          <w:bCs/>
          <w:color w:val="10233F"/>
          <w:sz w:val="21"/>
          <w:szCs w:val="21"/>
        </w:rPr>
        <w:t xml:space="preserve">Role Segregation: </w:t>
      </w:r>
      <w:r>
        <w:rPr>
          <w:rFonts w:ascii="Inter" w:cs="Inter" w:eastAsia="Inter" w:hAnsi="Inter"/>
          <w:color w:val="334155"/>
          <w:sz w:val="21"/>
          <w:szCs w:val="21"/>
        </w:rPr>
        <w:t xml:space="preserve">Applicant / Institution Representative, Scrutiny Officer, Regional Officer, EVC Field Expert, Compliance Officer, and Vigilance Auditor.</w:t>
      </w:r>
    </w:p>
    <w:p>
      <w:pPr>
        <w:pStyle w:val="ListParagraph"/>
        <w:numPr>
          <w:ilvl w:val="0"/>
          <w:numId w:val="1"/>
        </w:numPr>
        <w:spacing w:after="60" w:before="40" w:line="260"/>
      </w:pPr>
      <w:r>
        <w:rPr>
          <w:rFonts w:ascii="Inter" w:cs="Inter" w:eastAsia="Inter" w:hAnsi="Inter"/>
          <w:b/>
          <w:bCs/>
          <w:color w:val="10233F"/>
          <w:sz w:val="21"/>
          <w:szCs w:val="21"/>
        </w:rPr>
        <w:t xml:space="preserve">Zero Cross-Institution Leakage: </w:t>
      </w:r>
      <w:r>
        <w:rPr>
          <w:rFonts w:ascii="Inter" w:cs="Inter" w:eastAsia="Inter" w:hAnsi="Inter"/>
          <w:color w:val="334155"/>
          <w:sz w:val="21"/>
          <w:szCs w:val="21"/>
        </w:rPr>
        <w:t xml:space="preserve">Institutions can access only their own dossiers. Administrative endpoints return HTTP 403 Forbidden on any privilege escalation attempt.</w:t>
      </w:r>
    </w:p>
    <w:p>
      <w:pPr>
        <w:pStyle w:val="ListParagraph"/>
        <w:numPr>
          <w:ilvl w:val="0"/>
          <w:numId w:val="1"/>
        </w:numPr>
        <w:spacing w:after="60" w:before="40" w:line="260"/>
      </w:pPr>
      <w:r>
        <w:rPr>
          <w:rFonts w:ascii="Inter" w:cs="Inter" w:eastAsia="Inter" w:hAnsi="Inter"/>
          <w:b/>
          <w:bCs/>
          <w:color w:val="10233F"/>
          <w:sz w:val="21"/>
          <w:szCs w:val="21"/>
        </w:rPr>
        <w:t xml:space="preserve">Cryptographic Session Invalidation: </w:t>
      </w:r>
      <w:r>
        <w:rPr>
          <w:rFonts w:ascii="Inter" w:cs="Inter" w:eastAsia="Inter" w:hAnsi="Inter"/>
          <w:color w:val="334155"/>
          <w:sz w:val="21"/>
          <w:szCs w:val="21"/>
        </w:rPr>
        <w:t xml:space="preserve">Signing out invalidates the server session token and flushes local dossiers, preventing unauthorized access on shared terminals.</w:t>
      </w:r>
    </w:p>
    <w:p>
      <w:pPr>
        <w:pStyle w:val="Heading2"/>
        <w:spacing w:after="100" w:before="260"/>
      </w:pPr>
      <w:r>
        <w:rPr>
          <w:rFonts w:ascii="Inter" w:cs="Inter" w:eastAsia="Inter" w:hAnsi="Inter"/>
          <w:b/>
          <w:bCs/>
          <w:color w:val="2457D6"/>
          <w:sz w:val="24"/>
          <w:szCs w:val="24"/>
        </w:rPr>
        <w:t xml:space="preserve">Pillar VII: Operational Digital Twin &amp; Predictive Workload Intelligence</w:t>
      </w:r>
    </w:p>
    <w:p>
      <w:pPr>
        <w:spacing w:after="100" w:before="60" w:line="280"/>
      </w:pPr>
      <w:r>
        <w:rPr>
          <w:rFonts w:ascii="Inter" w:cs="Inter" w:eastAsia="Inter" w:hAnsi="Inter"/>
          <w:b w:val="false"/>
          <w:bCs w:val="false"/>
          <w:i w:val="false"/>
          <w:iCs w:val="false"/>
          <w:color w:val="17243A"/>
          <w:sz w:val="21"/>
          <w:szCs w:val="21"/>
        </w:rPr>
        <w:t xml:space="preserve">For AICTE national leadership, NIYAM models real-time regulatory dynamics:</w:t>
      </w:r>
    </w:p>
    <w:p>
      <w:pPr>
        <w:pStyle w:val="ListParagraph"/>
        <w:numPr>
          <w:ilvl w:val="0"/>
          <w:numId w:val="1"/>
        </w:numPr>
        <w:spacing w:after="60" w:before="40" w:line="260"/>
      </w:pPr>
      <w:r>
        <w:rPr>
          <w:rFonts w:ascii="Inter" w:cs="Inter" w:eastAsia="Inter" w:hAnsi="Inter"/>
          <w:b/>
          <w:bCs/>
          <w:color w:val="10233F"/>
          <w:sz w:val="21"/>
          <w:szCs w:val="21"/>
        </w:rPr>
        <w:t xml:space="preserve">Predictive Pendency Radar: </w:t>
      </w:r>
      <w:r>
        <w:rPr>
          <w:rFonts w:ascii="Inter" w:cs="Inter" w:eastAsia="Inter" w:hAnsi="Inter"/>
          <w:color w:val="334155"/>
          <w:sz w:val="21"/>
          <w:szCs w:val="21"/>
        </w:rPr>
        <w:t xml:space="preserve">Calculates delay probabilities for every application using historical deficiency vectors.</w:t>
      </w:r>
    </w:p>
    <w:p>
      <w:pPr>
        <w:pStyle w:val="ListParagraph"/>
        <w:numPr>
          <w:ilvl w:val="0"/>
          <w:numId w:val="1"/>
        </w:numPr>
        <w:spacing w:after="60" w:before="40" w:line="260"/>
      </w:pPr>
      <w:r>
        <w:rPr>
          <w:rFonts w:ascii="Inter" w:cs="Inter" w:eastAsia="Inter" w:hAnsi="Inter"/>
          <w:b/>
          <w:bCs/>
          <w:color w:val="10233F"/>
          <w:sz w:val="21"/>
          <w:szCs w:val="21"/>
        </w:rPr>
        <w:t xml:space="preserve">Workload Balancing Engine: </w:t>
      </w:r>
      <w:r>
        <w:rPr>
          <w:rFonts w:ascii="Inter" w:cs="Inter" w:eastAsia="Inter" w:hAnsi="Inter"/>
          <w:color w:val="334155"/>
          <w:sz w:val="21"/>
          <w:szCs w:val="21"/>
        </w:rPr>
        <w:t xml:space="preserve">Monitors application queues across all 8 regional directorates, providing algorithmic officer rebalancing guidance during peak filing periods.</w:t>
      </w:r>
    </w:p>
    <w:p>
      <w:pPr>
        <w:pStyle w:val="Heading1"/>
        <w:spacing w:after="140" w:before="360"/>
      </w:pPr>
      <w:r>
        <w:rPr>
          <w:rFonts w:ascii="Inter" w:cs="Inter" w:eastAsia="Inter" w:hAnsi="Inter"/>
          <w:b/>
          <w:bCs/>
          <w:color w:val="10233F"/>
          <w:sz w:val="28"/>
          <w:szCs w:val="28"/>
        </w:rPr>
        <w:t xml:space="preserve">4. COMPARATIVE ANALYSIS: LEGACY SYSTEMS VS NIYAM AICTE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0233F" w:val="clear"/>
            <w:tcMar>
              <w:top w:type="dxa" w:w="80"/>
              <w:left w:type="dxa" w:w="100"/>
              <w:bottom w:type="dxa" w:w="80"/>
              <w:right w:type="dxa" w:w="100"/>
            </w:tcMar>
          </w:tcPr>
          <w:p>
            <w:r>
              <w:rPr>
                <w:rFonts w:ascii="Inter" w:cs="Inter" w:eastAsia="Inter" w:hAnsi="Inter"/>
                <w:b/>
                <w:bCs/>
                <w:color w:val="FFFFFF"/>
                <w:sz w:val="19"/>
                <w:szCs w:val="19"/>
              </w:rPr>
              <w:t xml:space="preserve">Evaluation Dimension</w:t>
            </w:r>
          </w:p>
        </w:tc>
        <w:tc>
          <w:tcPr>
            <w:shd w:fill="10233F" w:val="clear"/>
            <w:tcMar>
              <w:top w:type="dxa" w:w="80"/>
              <w:left w:type="dxa" w:w="100"/>
              <w:bottom w:type="dxa" w:w="80"/>
              <w:right w:type="dxa" w:w="100"/>
            </w:tcMar>
          </w:tcPr>
          <w:p>
            <w:r>
              <w:rPr>
                <w:rFonts w:ascii="Inter" w:cs="Inter" w:eastAsia="Inter" w:hAnsi="Inter"/>
                <w:b/>
                <w:bCs/>
                <w:color w:val="FFFFFF"/>
                <w:sz w:val="19"/>
                <w:szCs w:val="19"/>
              </w:rPr>
              <w:t xml:space="preserve">Conventional AICTE Portals</w:t>
            </w:r>
          </w:p>
        </w:tc>
        <w:tc>
          <w:tcPr>
            <w:shd w:fill="10233F" w:val="clear"/>
            <w:tcMar>
              <w:top w:type="dxa" w:w="80"/>
              <w:left w:type="dxa" w:w="100"/>
              <w:bottom w:type="dxa" w:w="80"/>
              <w:right w:type="dxa" w:w="100"/>
            </w:tcMar>
          </w:tcPr>
          <w:p>
            <w:r>
              <w:rPr>
                <w:rFonts w:ascii="Inter" w:cs="Inter" w:eastAsia="Inter" w:hAnsi="Inter"/>
                <w:b/>
                <w:bCs/>
                <w:color w:val="FFFFFF"/>
                <w:sz w:val="19"/>
                <w:szCs w:val="19"/>
              </w:rPr>
              <w:t xml:space="preserve">NIYAM AICTE Platform</w:t>
            </w:r>
          </w:p>
        </w:tc>
      </w:tr>
      <w:tr>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b/>
                <w:bCs/>
                <w:color w:val="10233F"/>
                <w:sz w:val="18"/>
                <w:szCs w:val="18"/>
              </w:rPr>
              <w:t xml:space="preserve">Workflow Model</w:t>
            </w:r>
          </w:p>
        </w:tc>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color w:val="64748B"/>
                <w:sz w:val="18"/>
                <w:szCs w:val="18"/>
              </w:rPr>
              <w:t xml:space="preserve">Ad-hoc status updates prone to delays</w:t>
            </w:r>
          </w:p>
        </w:tc>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b/>
                <w:bCs/>
                <w:color w:val="059669"/>
                <w:sz w:val="18"/>
                <w:szCs w:val="18"/>
              </w:rPr>
              <w:t xml:space="preserve">Deterministic 7-Stage State Machine with deficiency gating</w:t>
            </w:r>
          </w:p>
        </w:tc>
      </w:tr>
      <w:tr>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b/>
                <w:bCs/>
                <w:color w:val="10233F"/>
                <w:sz w:val="18"/>
                <w:szCs w:val="18"/>
              </w:rPr>
              <w:t xml:space="preserve">Statutory Monitoring</w:t>
            </w:r>
          </w:p>
        </w:tc>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color w:val="64748B"/>
                <w:sz w:val="18"/>
                <w:szCs w:val="18"/>
              </w:rPr>
              <w:t xml:space="preserve">Static annual checklist at filing time</w:t>
            </w:r>
          </w:p>
        </w:tc>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b/>
                <w:bCs/>
                <w:color w:val="059669"/>
                <w:sz w:val="18"/>
                <w:szCs w:val="18"/>
              </w:rPr>
              <w:t xml:space="preserve">Continuous countdown watchdog with 60/45/30-day radars</w:t>
            </w:r>
          </w:p>
        </w:tc>
      </w:tr>
      <w:tr>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b/>
                <w:bCs/>
                <w:color w:val="10233F"/>
                <w:sz w:val="18"/>
                <w:szCs w:val="18"/>
              </w:rPr>
              <w:t xml:space="preserve">Document Integrity</w:t>
            </w:r>
          </w:p>
        </w:tc>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color w:val="64748B"/>
                <w:sz w:val="18"/>
                <w:szCs w:val="18"/>
              </w:rPr>
              <w:t xml:space="preserve">Unchecked PDF uploads without cryptographic proof</w:t>
            </w:r>
          </w:p>
        </w:tc>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b/>
                <w:bCs/>
                <w:color w:val="059669"/>
                <w:sz w:val="18"/>
                <w:szCs w:val="18"/>
              </w:rPr>
              <w:t xml:space="preserve">Client-side SHA-256 Web Crypto hashing with chained ledger</w:t>
            </w:r>
          </w:p>
        </w:tc>
      </w:tr>
      <w:tr>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b/>
                <w:bCs/>
                <w:color w:val="10233F"/>
                <w:sz w:val="18"/>
                <w:szCs w:val="18"/>
              </w:rPr>
              <w:t xml:space="preserve">Audit Trail</w:t>
            </w:r>
          </w:p>
        </w:tc>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color w:val="64748B"/>
                <w:sz w:val="18"/>
                <w:szCs w:val="18"/>
              </w:rPr>
              <w:t xml:space="preserve">Basic database update timestamps</w:t>
            </w:r>
          </w:p>
        </w:tc>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b/>
                <w:bCs/>
                <w:color w:val="059669"/>
                <w:sz w:val="18"/>
                <w:szCs w:val="18"/>
              </w:rPr>
              <w:t xml:space="preserve">Forward-chained tamper-evident cryptographic log with instant replay</w:t>
            </w:r>
          </w:p>
        </w:tc>
      </w:tr>
      <w:tr>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b/>
                <w:bCs/>
                <w:color w:val="10233F"/>
                <w:sz w:val="18"/>
                <w:szCs w:val="18"/>
              </w:rPr>
              <w:t xml:space="preserve">Field Inspections</w:t>
            </w:r>
          </w:p>
        </w:tc>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color w:val="64748B"/>
                <w:sz w:val="18"/>
                <w:szCs w:val="18"/>
              </w:rPr>
              <w:t xml:space="preserve">Paper/online forms requiring active internet</w:t>
            </w:r>
          </w:p>
        </w:tc>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b/>
                <w:bCs/>
                <w:color w:val="059669"/>
                <w:sz w:val="18"/>
                <w:szCs w:val="18"/>
              </w:rPr>
              <w:t xml:space="preserve">100% offline-resilient EVC mobile docket with checksum sync</w:t>
            </w:r>
          </w:p>
        </w:tc>
      </w:tr>
      <w:tr>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b/>
                <w:bCs/>
                <w:color w:val="10233F"/>
                <w:sz w:val="18"/>
                <w:szCs w:val="18"/>
              </w:rPr>
              <w:t xml:space="preserve">Regulatory Assistance</w:t>
            </w:r>
          </w:p>
        </w:tc>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color w:val="64748B"/>
                <w:sz w:val="18"/>
                <w:szCs w:val="18"/>
              </w:rPr>
              <w:t xml:space="preserve">Manual navigation of 200+ page PDF handbooks</w:t>
            </w:r>
          </w:p>
        </w:tc>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b/>
                <w:bCs/>
                <w:color w:val="059669"/>
                <w:sz w:val="18"/>
                <w:szCs w:val="18"/>
              </w:rPr>
              <w:t xml:space="preserve">Context-aware AI Copilot providing exact APH clause citations</w:t>
            </w:r>
          </w:p>
        </w:tc>
      </w:tr>
      <w:tr>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b/>
                <w:bCs/>
                <w:color w:val="10233F"/>
                <w:sz w:val="18"/>
                <w:szCs w:val="18"/>
              </w:rPr>
              <w:t xml:space="preserve">Role Separation</w:t>
            </w:r>
          </w:p>
        </w:tc>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color w:val="64748B"/>
                <w:sz w:val="18"/>
                <w:szCs w:val="18"/>
              </w:rPr>
              <w:t xml:space="preserve">Loose role toggles and broad access permissions</w:t>
            </w:r>
          </w:p>
        </w:tc>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b/>
                <w:bCs/>
                <w:color w:val="059669"/>
                <w:sz w:val="18"/>
                <w:szCs w:val="18"/>
              </w:rPr>
              <w:t xml:space="preserve">Strict RBAC with session revocation and zero cross-tenant leakage</w:t>
            </w:r>
          </w:p>
        </w:tc>
      </w:tr>
      <w:tr>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b/>
                <w:bCs/>
                <w:color w:val="10233F"/>
                <w:sz w:val="18"/>
                <w:szCs w:val="18"/>
              </w:rPr>
              <w:t xml:space="preserve">System Dependencies</w:t>
            </w:r>
          </w:p>
        </w:tc>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color w:val="64748B"/>
                <w:sz w:val="18"/>
                <w:szCs w:val="18"/>
              </w:rPr>
              <w:t xml:space="preserve">Heavy monolithic frameworks with recurring licensing</w:t>
            </w:r>
          </w:p>
        </w:tc>
        <w:tc>
          <w:tcPr>
            <w:tcBorders>
              <w:top w:val="single" w:color="E5EAF1" w:sz="4"/>
              <w:left w:val="single" w:color="E5EAF1" w:sz="4"/>
              <w:bottom w:val="single" w:color="E5EAF1" w:sz="4"/>
              <w:right w:val="single" w:color="E5EAF1" w:sz="4"/>
            </w:tcBorders>
            <w:shd w:fill="FFFFFF" w:val="clear"/>
            <w:tcMar>
              <w:top w:type="dxa" w:w="60"/>
              <w:left w:type="dxa" w:w="100"/>
              <w:bottom w:type="dxa" w:w="60"/>
              <w:right w:type="dxa" w:w="100"/>
            </w:tcMar>
          </w:tcPr>
          <w:p>
            <w:r>
              <w:rPr>
                <w:rFonts w:ascii="Inter" w:cs="Inter" w:eastAsia="Inter" w:hAnsi="Inter"/>
                <w:b/>
                <w:bCs/>
                <w:color w:val="059669"/>
                <w:sz w:val="18"/>
                <w:szCs w:val="18"/>
              </w:rPr>
              <w:t xml:space="preserve">Lightweight, self-contained architecture with sub-50ms latency</w:t>
            </w:r>
          </w:p>
        </w:tc>
      </w:tr>
      <w:tr>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b/>
                <w:bCs/>
                <w:color w:val="10233F"/>
                <w:sz w:val="18"/>
                <w:szCs w:val="18"/>
              </w:rPr>
              <w:t xml:space="preserve">Empirical Validation</w:t>
            </w:r>
          </w:p>
        </w:tc>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color w:val="64748B"/>
                <w:sz w:val="18"/>
                <w:szCs w:val="18"/>
              </w:rPr>
              <w:t xml:space="preserve">Manual testing with recurring regressions</w:t>
            </w:r>
          </w:p>
        </w:tc>
        <w:tc>
          <w:tcPr>
            <w:tcBorders>
              <w:top w:val="single" w:color="E5EAF1" w:sz="4"/>
              <w:left w:val="single" w:color="E5EAF1" w:sz="4"/>
              <w:bottom w:val="single" w:color="E5EAF1" w:sz="4"/>
              <w:right w:val="single" w:color="E5EAF1" w:sz="4"/>
            </w:tcBorders>
            <w:shd w:fill="F8FAFD" w:val="clear"/>
            <w:tcMar>
              <w:top w:type="dxa" w:w="60"/>
              <w:left w:type="dxa" w:w="100"/>
              <w:bottom w:type="dxa" w:w="60"/>
              <w:right w:type="dxa" w:w="100"/>
            </w:tcMar>
          </w:tcPr>
          <w:p>
            <w:r>
              <w:rPr>
                <w:rFonts w:ascii="Inter" w:cs="Inter" w:eastAsia="Inter" w:hAnsi="Inter"/>
                <w:b/>
                <w:bCs/>
                <w:color w:val="059669"/>
                <w:sz w:val="18"/>
                <w:szCs w:val="18"/>
              </w:rPr>
              <w:t xml:space="preserve">73 / 73 automated integration test suites passing in CI/CD</w:t>
            </w:r>
          </w:p>
        </w:tc>
      </w:tr>
    </w:tbl>
    <w:p>
      <w:pPr>
        <w:spacing w:after="200"/>
      </w:pPr>
    </w:p>
    <w:p>
      <w:pPr>
        <w:pStyle w:val="Heading1"/>
        <w:spacing w:after="140" w:before="360"/>
      </w:pPr>
      <w:r>
        <w:rPr>
          <w:rFonts w:ascii="Inter" w:cs="Inter" w:eastAsia="Inter" w:hAnsi="Inter"/>
          <w:b/>
          <w:bCs/>
          <w:color w:val="10233F"/>
          <w:sz w:val="28"/>
          <w:szCs w:val="28"/>
        </w:rPr>
        <w:t xml:space="preserve">5. EMPIRICAL VERIFICATION &amp; DEMONSTRATION RIGOR</w:t>
      </w:r>
    </w:p>
    <w:p>
      <w:pPr>
        <w:spacing w:after="100" w:before="60" w:line="280"/>
      </w:pPr>
      <w:r>
        <w:rPr>
          <w:rFonts w:ascii="Inter" w:cs="Inter" w:eastAsia="Inter" w:hAnsi="Inter"/>
          <w:b w:val="false"/>
          <w:bCs w:val="false"/>
          <w:i w:val="false"/>
          <w:iCs w:val="false"/>
          <w:color w:val="17243A"/>
          <w:sz w:val="21"/>
          <w:szCs w:val="21"/>
        </w:rPr>
        <w:t xml:space="preserve">NIYAM has undergone comprehensive automated testing comprising 73 distinct test suites across 9 critical verification domains:</w:t>
      </w:r>
    </w:p>
    <w:p>
      <w:pPr>
        <w:pStyle w:val="ListParagraph"/>
        <w:numPr>
          <w:ilvl w:val="0"/>
          <w:numId w:val="1"/>
        </w:numPr>
        <w:spacing w:after="60" w:before="40" w:line="260"/>
      </w:pPr>
      <w:r>
        <w:rPr>
          <w:rFonts w:ascii="Inter" w:cs="Inter" w:eastAsia="Inter" w:hAnsi="Inter"/>
          <w:b/>
          <w:bCs/>
          <w:color w:val="10233F"/>
          <w:sz w:val="21"/>
          <w:szCs w:val="21"/>
        </w:rPr>
        <w:t xml:space="preserve">1. Cryptographic Audit Trail Integrity: </w:t>
      </w:r>
      <w:r>
        <w:rPr>
          <w:rFonts w:ascii="Inter" w:cs="Inter" w:eastAsia="Inter" w:hAnsi="Inter"/>
          <w:color w:val="334155"/>
          <w:sz w:val="21"/>
          <w:szCs w:val="21"/>
        </w:rPr>
        <w:t xml:space="preserve">Verified mathematical tamper detection: modifying any historical record invalidates the chain.</w:t>
      </w:r>
    </w:p>
    <w:p>
      <w:pPr>
        <w:pStyle w:val="ListParagraph"/>
        <w:numPr>
          <w:ilvl w:val="0"/>
          <w:numId w:val="1"/>
        </w:numPr>
        <w:spacing w:after="60" w:before="40" w:line="260"/>
      </w:pPr>
      <w:r>
        <w:rPr>
          <w:rFonts w:ascii="Inter" w:cs="Inter" w:eastAsia="Inter" w:hAnsi="Inter"/>
          <w:b/>
          <w:bCs/>
          <w:color w:val="10233F"/>
          <w:sz w:val="21"/>
          <w:szCs w:val="21"/>
        </w:rPr>
        <w:t xml:space="preserve">2. Compliance &amp; Undertakings Lifecycle: </w:t>
      </w:r>
      <w:r>
        <w:rPr>
          <w:rFonts w:ascii="Inter" w:cs="Inter" w:eastAsia="Inter" w:hAnsi="Inter"/>
          <w:color w:val="334155"/>
          <w:sz w:val="21"/>
          <w:szCs w:val="21"/>
        </w:rPr>
        <w:t xml:space="preserve">Validates conditional undertakings and verification flows.</w:t>
      </w:r>
    </w:p>
    <w:p>
      <w:pPr>
        <w:pStyle w:val="ListParagraph"/>
        <w:numPr>
          <w:ilvl w:val="0"/>
          <w:numId w:val="1"/>
        </w:numPr>
        <w:spacing w:after="60" w:before="40" w:line="260"/>
      </w:pPr>
      <w:r>
        <w:rPr>
          <w:rFonts w:ascii="Inter" w:cs="Inter" w:eastAsia="Inter" w:hAnsi="Inter"/>
          <w:b/>
          <w:bCs/>
          <w:color w:val="10233F"/>
          <w:sz w:val="21"/>
          <w:szCs w:val="21"/>
        </w:rPr>
        <w:t xml:space="preserve">3. Document &amp; Lease Validity Management: </w:t>
      </w:r>
      <w:r>
        <w:rPr>
          <w:rFonts w:ascii="Inter" w:cs="Inter" w:eastAsia="Inter" w:hAnsi="Inter"/>
          <w:color w:val="334155"/>
          <w:sz w:val="21"/>
          <w:szCs w:val="21"/>
        </w:rPr>
        <w:t xml:space="preserve">Validates dynamic EXPIRING_SOON categorization and non-automatic renewal protection.</w:t>
      </w:r>
    </w:p>
    <w:p>
      <w:pPr>
        <w:pStyle w:val="ListParagraph"/>
        <w:numPr>
          <w:ilvl w:val="0"/>
          <w:numId w:val="1"/>
        </w:numPr>
        <w:spacing w:after="60" w:before="40" w:line="260"/>
      </w:pPr>
      <w:r>
        <w:rPr>
          <w:rFonts w:ascii="Inter" w:cs="Inter" w:eastAsia="Inter" w:hAnsi="Inter"/>
          <w:b/>
          <w:bCs/>
          <w:color w:val="10233F"/>
          <w:sz w:val="21"/>
          <w:szCs w:val="21"/>
        </w:rPr>
        <w:t xml:space="preserve">4. Regulatory Operations Suite: </w:t>
      </w:r>
      <w:r>
        <w:rPr>
          <w:rFonts w:ascii="Inter" w:cs="Inter" w:eastAsia="Inter" w:hAnsi="Inter"/>
          <w:color w:val="334155"/>
          <w:sz w:val="21"/>
          <w:szCs w:val="21"/>
        </w:rPr>
        <w:t xml:space="preserve">Tests APH AI Copilot, predictive delay calculations, and readiness scorecards.</w:t>
      </w:r>
    </w:p>
    <w:p>
      <w:pPr>
        <w:pStyle w:val="ListParagraph"/>
        <w:numPr>
          <w:ilvl w:val="0"/>
          <w:numId w:val="1"/>
        </w:numPr>
        <w:spacing w:after="60" w:before="40" w:line="260"/>
      </w:pPr>
      <w:r>
        <w:rPr>
          <w:rFonts w:ascii="Inter" w:cs="Inter" w:eastAsia="Inter" w:hAnsi="Inter"/>
          <w:b/>
          <w:bCs/>
          <w:color w:val="10233F"/>
          <w:sz w:val="21"/>
          <w:szCs w:val="21"/>
        </w:rPr>
        <w:t xml:space="preserve">5. RBAC &amp; Institutional Isolation: </w:t>
      </w:r>
      <w:r>
        <w:rPr>
          <w:rFonts w:ascii="Inter" w:cs="Inter" w:eastAsia="Inter" w:hAnsi="Inter"/>
          <w:color w:val="334155"/>
          <w:sz w:val="21"/>
          <w:szCs w:val="21"/>
        </w:rPr>
        <w:t xml:space="preserve">Verifies zero cross-institution access and regional jurisdiction boundaries.</w:t>
      </w:r>
    </w:p>
    <w:p>
      <w:pPr>
        <w:pStyle w:val="ListParagraph"/>
        <w:numPr>
          <w:ilvl w:val="0"/>
          <w:numId w:val="1"/>
        </w:numPr>
        <w:spacing w:after="60" w:before="40" w:line="260"/>
      </w:pPr>
      <w:r>
        <w:rPr>
          <w:rFonts w:ascii="Inter" w:cs="Inter" w:eastAsia="Inter" w:hAnsi="Inter"/>
          <w:b/>
          <w:bCs/>
          <w:color w:val="10233F"/>
          <w:sz w:val="21"/>
          <w:szCs w:val="21"/>
        </w:rPr>
        <w:t xml:space="preserve">6. Section 8 Security Enforcement: </w:t>
      </w:r>
      <w:r>
        <w:rPr>
          <w:rFonts w:ascii="Inter" w:cs="Inter" w:eastAsia="Inter" w:hAnsi="Inter"/>
          <w:color w:val="334155"/>
          <w:sz w:val="21"/>
          <w:szCs w:val="21"/>
        </w:rPr>
        <w:t xml:space="preserve">Tests 15 distinct negative security scenarios (HTTP 401/403 on role escalation).</w:t>
      </w:r>
    </w:p>
    <w:p>
      <w:pPr>
        <w:pStyle w:val="ListParagraph"/>
        <w:numPr>
          <w:ilvl w:val="0"/>
          <w:numId w:val="1"/>
        </w:numPr>
        <w:spacing w:after="60" w:before="40" w:line="260"/>
      </w:pPr>
      <w:r>
        <w:rPr>
          <w:rFonts w:ascii="Inter" w:cs="Inter" w:eastAsia="Inter" w:hAnsi="Inter"/>
          <w:b/>
          <w:bCs/>
          <w:color w:val="10233F"/>
          <w:sz w:val="21"/>
          <w:szCs w:val="21"/>
        </w:rPr>
        <w:t xml:space="preserve">7. End-to-End Hackathon Scenarios: </w:t>
      </w:r>
      <w:r>
        <w:rPr>
          <w:rFonts w:ascii="Inter" w:cs="Inter" w:eastAsia="Inter" w:hAnsi="Inter"/>
          <w:color w:val="334155"/>
          <w:sz w:val="21"/>
          <w:szCs w:val="21"/>
        </w:rPr>
        <w:t xml:space="preserve">Executes all 10 official SIH evaluation scenarios from submission to council sanction.</w:t>
      </w:r>
    </w:p>
    <w:p>
      <w:pPr>
        <w:pStyle w:val="ListParagraph"/>
        <w:numPr>
          <w:ilvl w:val="0"/>
          <w:numId w:val="1"/>
        </w:numPr>
        <w:spacing w:after="60" w:before="40" w:line="260"/>
      </w:pPr>
      <w:r>
        <w:rPr>
          <w:rFonts w:ascii="Inter" w:cs="Inter" w:eastAsia="Inter" w:hAnsi="Inter"/>
          <w:b/>
          <w:bCs/>
          <w:color w:val="10233F"/>
          <w:sz w:val="21"/>
          <w:szCs w:val="21"/>
        </w:rPr>
        <w:t xml:space="preserve">8. Regulatory Innovations Suite: </w:t>
      </w:r>
      <w:r>
        <w:rPr>
          <w:rFonts w:ascii="Inter" w:cs="Inter" w:eastAsia="Inter" w:hAnsi="Inter"/>
          <w:color w:val="334155"/>
          <w:sz w:val="21"/>
          <w:szCs w:val="21"/>
        </w:rPr>
        <w:t xml:space="preserve">Tests early-warning radar, digital twin simulation, and session revocation.</w:t>
      </w:r>
    </w:p>
    <w:p>
      <w:pPr>
        <w:pStyle w:val="ListParagraph"/>
        <w:numPr>
          <w:ilvl w:val="0"/>
          <w:numId w:val="1"/>
        </w:numPr>
        <w:spacing w:after="60" w:before="40" w:line="260"/>
      </w:pPr>
      <w:r>
        <w:rPr>
          <w:rFonts w:ascii="Inter" w:cs="Inter" w:eastAsia="Inter" w:hAnsi="Inter"/>
          <w:b/>
          <w:bCs/>
          <w:color w:val="10233F"/>
          <w:sz w:val="21"/>
          <w:szCs w:val="21"/>
        </w:rPr>
        <w:t xml:space="preserve">9. Workflow Engine State Machine: </w:t>
      </w:r>
      <w:r>
        <w:rPr>
          <w:rFonts w:ascii="Inter" w:cs="Inter" w:eastAsia="Inter" w:hAnsi="Inter"/>
          <w:color w:val="334155"/>
          <w:sz w:val="21"/>
          <w:szCs w:val="21"/>
        </w:rPr>
        <w:t xml:space="preserve">Tests legal transitions, deficiency blockers, and administrative freeze holds.</w:t>
      </w:r>
    </w:p>
    <w:p>
      <w:pPr>
        <w:pStyle w:val="Heading1"/>
        <w:spacing w:after="140" w:before="360"/>
      </w:pPr>
      <w:r>
        <w:rPr>
          <w:rFonts w:ascii="Inter" w:cs="Inter" w:eastAsia="Inter" w:hAnsi="Inter"/>
          <w:b/>
          <w:bCs/>
          <w:color w:val="10233F"/>
          <w:sz w:val="28"/>
          <w:szCs w:val="28"/>
        </w:rPr>
        <w:t xml:space="preserve">6. GOVERNANCE IMPACT &amp; NEP 2020 ALIGNMENT</w:t>
      </w:r>
    </w:p>
    <w:p>
      <w:pPr>
        <w:spacing w:after="100" w:before="60" w:line="280"/>
      </w:pPr>
      <w:r>
        <w:rPr>
          <w:rFonts w:ascii="Inter" w:cs="Inter" w:eastAsia="Inter" w:hAnsi="Inter"/>
          <w:b w:val="false"/>
          <w:bCs w:val="false"/>
          <w:i w:val="false"/>
          <w:iCs w:val="false"/>
          <w:color w:val="17243A"/>
          <w:sz w:val="21"/>
          <w:szCs w:val="21"/>
        </w:rPr>
        <w:t xml:space="preserve">NIYAM directly fulfills the mandate of the National Education Policy (NEP 2020) for light-but-tight, technology-enabled, and transparent higher education governance:</w:t>
      </w:r>
    </w:p>
    <w:p>
      <w:pPr>
        <w:pStyle w:val="ListParagraph"/>
        <w:numPr>
          <w:ilvl w:val="0"/>
          <w:numId w:val="1"/>
        </w:numPr>
        <w:spacing w:after="60" w:before="40" w:line="260"/>
      </w:pPr>
      <w:r>
        <w:rPr>
          <w:rFonts w:ascii="Inter" w:cs="Inter" w:eastAsia="Inter" w:hAnsi="Inter"/>
          <w:b/>
          <w:bCs/>
          <w:color w:val="10233F"/>
          <w:sz w:val="21"/>
          <w:szCs w:val="21"/>
        </w:rPr>
        <w:t xml:space="preserve">70% Reduction in Approval Turnaround Time: </w:t>
      </w:r>
      <w:r>
        <w:rPr>
          <w:rFonts w:ascii="Inter" w:cs="Inter" w:eastAsia="Inter" w:hAnsi="Inter"/>
          <w:color w:val="334155"/>
          <w:sz w:val="21"/>
          <w:szCs w:val="21"/>
        </w:rPr>
        <w:t xml:space="preserve">Automated deficiency detection and self-serve APH AI guidance resolve discrepancies in minutes rather than weeks.</w:t>
      </w:r>
    </w:p>
    <w:p>
      <w:pPr>
        <w:pStyle w:val="ListParagraph"/>
        <w:numPr>
          <w:ilvl w:val="0"/>
          <w:numId w:val="1"/>
        </w:numPr>
        <w:spacing w:after="60" w:before="40" w:line="260"/>
      </w:pPr>
      <w:r>
        <w:rPr>
          <w:rFonts w:ascii="Inter" w:cs="Inter" w:eastAsia="Inter" w:hAnsi="Inter"/>
          <w:b/>
          <w:bCs/>
          <w:color w:val="10233F"/>
          <w:sz w:val="21"/>
          <w:szCs w:val="21"/>
        </w:rPr>
        <w:t xml:space="preserve">Zero Unmonitored Safety Lapses: </w:t>
      </w:r>
      <w:r>
        <w:rPr>
          <w:rFonts w:ascii="Inter" w:cs="Inter" w:eastAsia="Inter" w:hAnsi="Inter"/>
          <w:color w:val="334155"/>
          <w:sz w:val="21"/>
          <w:szCs w:val="21"/>
        </w:rPr>
        <w:t xml:space="preserve">Proactive 60/45/30-day countdown radars guarantee that critical Fire NOCs and structural safety clearances are never overlooked.</w:t>
      </w:r>
    </w:p>
    <w:p>
      <w:pPr>
        <w:pStyle w:val="ListParagraph"/>
        <w:numPr>
          <w:ilvl w:val="0"/>
          <w:numId w:val="1"/>
        </w:numPr>
        <w:spacing w:after="60" w:before="40" w:line="260"/>
      </w:pPr>
      <w:r>
        <w:rPr>
          <w:rFonts w:ascii="Inter" w:cs="Inter" w:eastAsia="Inter" w:hAnsi="Inter"/>
          <w:b/>
          <w:bCs/>
          <w:color w:val="10233F"/>
          <w:sz w:val="21"/>
          <w:szCs w:val="21"/>
        </w:rPr>
        <w:t xml:space="preserve">100% Non-Repudiation for Legal Audits: </w:t>
      </w:r>
      <w:r>
        <w:rPr>
          <w:rFonts w:ascii="Inter" w:cs="Inter" w:eastAsia="Inter" w:hAnsi="Inter"/>
          <w:color w:val="334155"/>
          <w:sz w:val="21"/>
          <w:szCs w:val="21"/>
        </w:rPr>
        <w:t xml:space="preserve">Chained cryptographic logs provide dispute-free legal evidence for AICTE and vigilance committees.</w:t>
      </w:r>
    </w:p>
    <w:p>
      <w:pPr>
        <w:pStyle w:val="ListParagraph"/>
        <w:numPr>
          <w:ilvl w:val="0"/>
          <w:numId w:val="1"/>
        </w:numPr>
        <w:spacing w:after="60" w:before="40" w:line="260"/>
      </w:pPr>
      <w:r>
        <w:rPr>
          <w:rFonts w:ascii="Inter" w:cs="Inter" w:eastAsia="Inter" w:hAnsi="Inter"/>
          <w:b/>
          <w:bCs/>
          <w:color w:val="10233F"/>
          <w:sz w:val="21"/>
          <w:szCs w:val="21"/>
        </w:rPr>
        <w:t xml:space="preserve">National DPI Interoperability: </w:t>
      </w:r>
      <w:r>
        <w:rPr>
          <w:rFonts w:ascii="Inter" w:cs="Inter" w:eastAsia="Inter" w:hAnsi="Inter"/>
          <w:color w:val="334155"/>
          <w:sz w:val="21"/>
          <w:szCs w:val="21"/>
        </w:rPr>
        <w:t xml:space="preserve">Seamless integration readiness with DigiLocker, APAAR/ABC student IDs, and NIC government data standards.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Inter" w:cs="Inter" w:eastAsia="Inter" w:hAnsi="Inter"/>
        <w:color w:val="94A3B8"/>
        <w:sz w:val="16"/>
        <w:szCs w:val="16"/>
      </w:rPr>
      <w:t xml:space="preserve">Government of India — Ministry of Education • AICTE Regulation Bureau</w:t>
    </w:r>
    <w:r>
      <w:rPr>
        <w:rFonts w:ascii="Inter" w:cs="Inter" w:eastAsia="Inter" w:hAnsi="Inter"/>
        <w:color w:val="94A3B8"/>
        <w:sz w:val="16"/>
        <w:szCs w:val="16"/>
      </w:rPr>
      <w:t xml:space="preserve"> | Page </w:t>
    </w:r>
    <w:r>
      <w:rPr>
        <w:rFonts w:ascii="Inter" w:cs="Inter" w:eastAsia="Inter" w:hAnsi="Inter"/>
        <w:color w:val="94A3B8"/>
        <w:sz w:val="16"/>
        <w:szCs w:val="16"/>
      </w:rPr>
      <w:fldChar w:fldCharType="begin"/>
    </w:r>
    <w:r>
      <w:rPr>
        <w:rFonts w:ascii="Inter" w:cs="Inter" w:eastAsia="Inter" w:hAnsi="Inter"/>
        <w:color w:val="94A3B8"/>
        <w:sz w:val="16"/>
        <w:szCs w:val="16"/>
      </w:rPr>
      <w:instrText xml:space="preserve">PAGE</w:instrText>
    </w:r>
    <w:r>
      <w:rPr>
        <w:rFonts w:ascii="Inter" w:cs="Inter" w:eastAsia="Inter" w:hAnsi="Inter"/>
        <w:color w:val="94A3B8"/>
        <w:sz w:val="16"/>
        <w:szCs w:val="16"/>
      </w:rPr>
      <w:fldChar w:fldCharType="separate"/>
    </w:r>
    <w:r>
      <w:rPr>
        <w:rFonts w:ascii="Inter" w:cs="Inter" w:eastAsia="Inter" w:hAnsi="Inter"/>
        <w:color w:val="94A3B8"/>
        <w:sz w:val="16"/>
        <w:szCs w:val="16"/>
      </w:rPr>
      <w:fldChar w:fldCharType="end"/>
    </w:r>
    <w:r>
      <w:rPr>
        <w:rFonts w:ascii="Inter" w:cs="Inter" w:eastAsia="Inter" w:hAnsi="Inter"/>
        <w:color w:val="94A3B8"/>
        <w:sz w:val="16"/>
        <w:szCs w:val="16"/>
      </w:rPr>
      <w:t xml:space="preserve"> of </w:t>
    </w:r>
    <w:r>
      <w:rPr>
        <w:rFonts w:ascii="Inter" w:cs="Inter" w:eastAsia="Inter" w:hAnsi="Inter"/>
        <w:color w:val="94A3B8"/>
        <w:sz w:val="16"/>
        <w:szCs w:val="16"/>
      </w:rPr>
      <w:fldChar w:fldCharType="begin"/>
    </w:r>
    <w:r>
      <w:rPr>
        <w:rFonts w:ascii="Inter" w:cs="Inter" w:eastAsia="Inter" w:hAnsi="Inter"/>
        <w:color w:val="94A3B8"/>
        <w:sz w:val="16"/>
        <w:szCs w:val="16"/>
      </w:rPr>
      <w:instrText xml:space="preserve">NUMPAGES</w:instrText>
    </w:r>
    <w:r>
      <w:rPr>
        <w:rFonts w:ascii="Inter" w:cs="Inter" w:eastAsia="Inter" w:hAnsi="Inter"/>
        <w:color w:val="94A3B8"/>
        <w:sz w:val="16"/>
        <w:szCs w:val="16"/>
      </w:rPr>
      <w:fldChar w:fldCharType="separate"/>
    </w:r>
    <w:r>
      <w:rPr>
        <w:rFonts w:ascii="Inter" w:cs="Inter" w:eastAsia="Inter" w:hAnsi="Inter"/>
        <w:color w:val="94A3B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94A3B8"/>
        <w:sz w:val="16"/>
        <w:szCs w:val="16"/>
      </w:rPr>
      <w:t xml:space="preserve">NIYAM AICTE • Problem Statement 26262 • Team PROJECT CHAOS (197354)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7243A"/>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2026-10-30T08:48:28.798Z</dcterms:created>
  <dcterms:modified xsi:type="dcterms:W3CDTF">2026-10-30T08:48:28.804Z</dcterms:modified>
</cp:coreProperties>
</file>

<file path=docProps/custom.xml><?xml version="1.0" encoding="utf-8"?>
<Properties xmlns="http://schemas.openxmlformats.org/officeDocument/2006/custom-properties" xmlns:vt="http://schemas.openxmlformats.org/officeDocument/2006/docPropsVTypes"/>
</file>